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EE772" w14:textId="77777777" w:rsidR="003F46C0" w:rsidRDefault="005346A0" w:rsidP="005346A0">
      <w:pPr>
        <w:spacing w:after="0" w:line="240" w:lineRule="auto"/>
        <w:jc w:val="both"/>
        <w:rPr>
          <w:rFonts w:ascii="Garamond" w:hAnsi="Garamond"/>
          <w:lang w:val="en-US"/>
        </w:rPr>
      </w:pPr>
      <w:bookmarkStart w:id="0" w:name="_GoBack"/>
      <w:bookmarkEnd w:id="0"/>
      <w:r w:rsidRPr="003F46C0">
        <w:rPr>
          <w:rFonts w:ascii="Garamond" w:hAnsi="Garamond"/>
          <w:b/>
          <w:lang w:val="en-US"/>
        </w:rPr>
        <w:t>Stream title</w:t>
      </w:r>
      <w:r w:rsidRPr="003F46C0">
        <w:rPr>
          <w:rFonts w:ascii="Garamond" w:hAnsi="Garamond"/>
          <w:lang w:val="en-US"/>
        </w:rPr>
        <w:t>:</w:t>
      </w:r>
      <w:r w:rsidR="003E1342" w:rsidRPr="003F46C0">
        <w:rPr>
          <w:rFonts w:ascii="Garamond" w:hAnsi="Garamond"/>
          <w:lang w:val="en-US"/>
        </w:rPr>
        <w:t xml:space="preserve"> </w:t>
      </w:r>
      <w:r w:rsidR="003F46C0">
        <w:rPr>
          <w:rFonts w:ascii="Garamond" w:hAnsi="Garamond"/>
          <w:lang w:val="en-US"/>
        </w:rPr>
        <w:t xml:space="preserve"> </w:t>
      </w:r>
    </w:p>
    <w:p w14:paraId="7DF1BDA1" w14:textId="77777777" w:rsidR="003E1342" w:rsidRPr="003F46C0" w:rsidRDefault="003E1342" w:rsidP="00AA0EA7">
      <w:pPr>
        <w:spacing w:after="0" w:line="240" w:lineRule="auto"/>
        <w:jc w:val="center"/>
        <w:rPr>
          <w:rFonts w:ascii="Garamond" w:hAnsi="Garamond"/>
          <w:lang w:val="en-US"/>
        </w:rPr>
      </w:pPr>
      <w:r w:rsidRPr="003F46C0">
        <w:rPr>
          <w:rFonts w:ascii="Garamond" w:hAnsi="Garamond"/>
          <w:i/>
          <w:lang w:val="en-US"/>
        </w:rPr>
        <w:t>The new territories of gender equality: corporate boards, feminine networks and pro-women employees resource groups</w:t>
      </w:r>
    </w:p>
    <w:p w14:paraId="3E04B2B0" w14:textId="77777777" w:rsidR="003E1342" w:rsidRPr="003F46C0" w:rsidRDefault="003E1342" w:rsidP="005346A0">
      <w:pPr>
        <w:spacing w:after="0" w:line="240" w:lineRule="auto"/>
        <w:jc w:val="both"/>
        <w:rPr>
          <w:rFonts w:ascii="Garamond" w:hAnsi="Garamond"/>
          <w:lang w:val="en-US"/>
        </w:rPr>
      </w:pPr>
    </w:p>
    <w:p w14:paraId="5547E4AD" w14:textId="77777777" w:rsidR="00631CD6" w:rsidRPr="003F46C0" w:rsidRDefault="00631CD6" w:rsidP="00631CD6">
      <w:pPr>
        <w:pStyle w:val="EndNoteBibliography"/>
        <w:spacing w:after="0"/>
        <w:jc w:val="center"/>
        <w:rPr>
          <w:rFonts w:ascii="Garamond" w:hAnsi="Garamond"/>
          <w:b/>
          <w:sz w:val="22"/>
        </w:rPr>
      </w:pPr>
      <w:r w:rsidRPr="003F46C0">
        <w:rPr>
          <w:rFonts w:ascii="Garamond" w:hAnsi="Garamond"/>
          <w:b/>
          <w:sz w:val="22"/>
        </w:rPr>
        <w:t>Maria Giuseppina Bruna</w:t>
      </w:r>
    </w:p>
    <w:p w14:paraId="421C996A" w14:textId="77777777" w:rsidR="00C2096E" w:rsidRPr="003F46C0" w:rsidRDefault="00C2096E" w:rsidP="00C2096E">
      <w:pPr>
        <w:spacing w:before="120" w:after="120" w:line="288" w:lineRule="auto"/>
        <w:jc w:val="center"/>
        <w:rPr>
          <w:rFonts w:ascii="Garamond" w:hAnsi="Garamond" w:cs="Calibri"/>
          <w:lang w:val="en-US"/>
        </w:rPr>
      </w:pPr>
      <w:r w:rsidRPr="003F46C0">
        <w:rPr>
          <w:rFonts w:ascii="Garamond" w:hAnsi="Garamond" w:cs="Calibri"/>
          <w:lang w:val="en-US"/>
        </w:rPr>
        <w:t>Scientific Director, Chair “Towards an Inclusive Company”, IPAG Business School – France</w:t>
      </w:r>
    </w:p>
    <w:p w14:paraId="5E3645CE" w14:textId="77777777" w:rsidR="00C2096E" w:rsidRPr="003F46C0" w:rsidRDefault="00C2096E" w:rsidP="00C2096E">
      <w:pPr>
        <w:spacing w:before="120" w:after="120" w:line="288" w:lineRule="auto"/>
        <w:jc w:val="center"/>
        <w:rPr>
          <w:rFonts w:ascii="Garamond" w:hAnsi="Garamond" w:cs="Calibri"/>
          <w:lang w:val="en-US"/>
        </w:rPr>
      </w:pPr>
      <w:r w:rsidRPr="003F46C0">
        <w:rPr>
          <w:rFonts w:ascii="Garamond" w:hAnsi="Garamond" w:cs="Calibri"/>
          <w:lang w:val="en-US"/>
        </w:rPr>
        <w:t>Director, Research program "Women &amp; networks" (led by the Chair IPAG “Towards an Inclusive Company, the Fo</w:t>
      </w:r>
      <w:r w:rsidR="003F46C0">
        <w:rPr>
          <w:rFonts w:ascii="Garamond" w:hAnsi="Garamond" w:cs="Calibri"/>
          <w:lang w:val="en-US"/>
        </w:rPr>
        <w:t>u</w:t>
      </w:r>
      <w:r w:rsidRPr="003F46C0">
        <w:rPr>
          <w:rFonts w:ascii="Garamond" w:hAnsi="Garamond" w:cs="Calibri"/>
          <w:lang w:val="en-US"/>
        </w:rPr>
        <w:t>ndation “Egalité Mixité” and the Foundation "Acting Against Exclusion").</w:t>
      </w:r>
    </w:p>
    <w:p w14:paraId="6320E8EB" w14:textId="77777777" w:rsidR="00C2096E" w:rsidRPr="003F46C0" w:rsidRDefault="00C2096E" w:rsidP="00631CD6">
      <w:pPr>
        <w:pStyle w:val="EndNoteBibliography"/>
        <w:spacing w:after="0"/>
        <w:jc w:val="center"/>
        <w:rPr>
          <w:rFonts w:ascii="Garamond" w:hAnsi="Garamond"/>
          <w:sz w:val="22"/>
        </w:rPr>
      </w:pPr>
    </w:p>
    <w:p w14:paraId="00946D98" w14:textId="77777777" w:rsidR="00631CD6" w:rsidRPr="003F46C0" w:rsidRDefault="00631CD6" w:rsidP="00631CD6">
      <w:pPr>
        <w:pStyle w:val="EndNoteBibliography"/>
        <w:spacing w:before="120" w:after="0"/>
        <w:jc w:val="center"/>
        <w:rPr>
          <w:rFonts w:ascii="Garamond" w:hAnsi="Garamond"/>
          <w:b/>
          <w:sz w:val="22"/>
        </w:rPr>
      </w:pPr>
      <w:r w:rsidRPr="003F46C0">
        <w:rPr>
          <w:rFonts w:ascii="Garamond" w:hAnsi="Garamond"/>
          <w:b/>
          <w:sz w:val="22"/>
        </w:rPr>
        <w:t>Rey Dang</w:t>
      </w:r>
    </w:p>
    <w:p w14:paraId="593D1B1C" w14:textId="77777777" w:rsidR="00631CD6" w:rsidRPr="003F46C0" w:rsidRDefault="00631CD6" w:rsidP="00631CD6">
      <w:pPr>
        <w:pStyle w:val="EndNoteBibliography"/>
        <w:spacing w:after="0"/>
        <w:jc w:val="center"/>
        <w:rPr>
          <w:rFonts w:ascii="Garamond" w:hAnsi="Garamond"/>
          <w:sz w:val="22"/>
        </w:rPr>
      </w:pPr>
      <w:r w:rsidRPr="003F46C0">
        <w:rPr>
          <w:rFonts w:ascii="Garamond" w:hAnsi="Garamond"/>
          <w:sz w:val="22"/>
        </w:rPr>
        <w:t>ICN Business School – CEREFIGE (University of Lorraine), Nancy-Metz</w:t>
      </w:r>
    </w:p>
    <w:p w14:paraId="1845F889" w14:textId="77777777" w:rsidR="00631CD6" w:rsidRPr="003F46C0" w:rsidRDefault="00631CD6" w:rsidP="00631CD6">
      <w:pPr>
        <w:pStyle w:val="EndNoteBibliography"/>
        <w:spacing w:before="120" w:after="120"/>
        <w:rPr>
          <w:rFonts w:ascii="Garamond" w:hAnsi="Garamond"/>
          <w:sz w:val="22"/>
        </w:rPr>
      </w:pPr>
      <w:r w:rsidRPr="003F46C0">
        <w:rPr>
          <w:rFonts w:ascii="Garamond" w:hAnsi="Garamond"/>
          <w:b/>
          <w:sz w:val="22"/>
        </w:rPr>
        <w:t>Stream outline</w:t>
      </w:r>
      <w:r w:rsidRPr="003F46C0">
        <w:rPr>
          <w:rFonts w:ascii="Garamond" w:hAnsi="Garamond"/>
          <w:sz w:val="22"/>
        </w:rPr>
        <w:t>:</w:t>
      </w:r>
    </w:p>
    <w:p w14:paraId="4F5C6C45" w14:textId="77777777" w:rsidR="00C2096E" w:rsidRPr="00AB6617" w:rsidRDefault="00C2096E" w:rsidP="00AB6617">
      <w:pPr>
        <w:tabs>
          <w:tab w:val="left" w:pos="284"/>
        </w:tabs>
        <w:spacing w:before="120" w:after="120" w:line="240" w:lineRule="auto"/>
        <w:jc w:val="both"/>
        <w:rPr>
          <w:rFonts w:ascii="Garamond" w:hAnsi="Garamond"/>
          <w:lang w:val="en-US"/>
        </w:rPr>
      </w:pPr>
      <w:r w:rsidRPr="00AB6617">
        <w:rPr>
          <w:rFonts w:ascii="Garamond" w:hAnsi="Garamond"/>
          <w:lang w:val="en-US"/>
        </w:rPr>
        <w:t xml:space="preserve">The stream manages to investigate the new challenges </w:t>
      </w:r>
      <w:r w:rsidR="00C25A4F" w:rsidRPr="00AB6617">
        <w:rPr>
          <w:rFonts w:ascii="Garamond" w:hAnsi="Garamond"/>
          <w:lang w:val="en-US"/>
        </w:rPr>
        <w:t>and the news</w:t>
      </w:r>
      <w:r w:rsidR="003E1342" w:rsidRPr="00AB6617">
        <w:rPr>
          <w:rFonts w:ascii="Garamond" w:hAnsi="Garamond"/>
          <w:lang w:val="en-US"/>
        </w:rPr>
        <w:t xml:space="preserve"> (virtual and physical) territories </w:t>
      </w:r>
      <w:r w:rsidR="00C25A4F" w:rsidRPr="00AB6617">
        <w:rPr>
          <w:rFonts w:ascii="Garamond" w:hAnsi="Garamond"/>
          <w:lang w:val="en-US"/>
        </w:rPr>
        <w:t xml:space="preserve">to promote women’s </w:t>
      </w:r>
      <w:r w:rsidR="00663A8C" w:rsidRPr="00AB6617">
        <w:rPr>
          <w:rFonts w:ascii="Garamond" w:hAnsi="Garamond"/>
          <w:lang w:val="en-US"/>
        </w:rPr>
        <w:t>inclusion at work</w:t>
      </w:r>
      <w:r w:rsidRPr="00AB6617">
        <w:rPr>
          <w:rFonts w:ascii="Garamond" w:hAnsi="Garamond"/>
          <w:lang w:val="en-US"/>
        </w:rPr>
        <w:t>, focusing on two complementary issues: the women on corporate boards topics (WOCB) and the femi</w:t>
      </w:r>
      <w:r w:rsidR="00000852" w:rsidRPr="00AB6617">
        <w:rPr>
          <w:rFonts w:ascii="Garamond" w:hAnsi="Garamond"/>
          <w:lang w:val="en-US"/>
        </w:rPr>
        <w:t>nine and/or pro-women networks.</w:t>
      </w:r>
    </w:p>
    <w:p w14:paraId="27B27E5E" w14:textId="77777777" w:rsidR="00634CE5" w:rsidRPr="00AB6617" w:rsidRDefault="00631CD6" w:rsidP="00AB6617">
      <w:pPr>
        <w:pStyle w:val="EndNoteBibliography"/>
        <w:spacing w:before="120" w:after="120"/>
        <w:ind w:firstLine="142"/>
        <w:rPr>
          <w:rFonts w:ascii="Garamond" w:hAnsi="Garamond"/>
          <w:sz w:val="22"/>
        </w:rPr>
      </w:pPr>
      <w:r w:rsidRPr="00AB6617">
        <w:rPr>
          <w:rFonts w:ascii="Garamond" w:hAnsi="Garamond"/>
          <w:sz w:val="22"/>
        </w:rPr>
        <w:t>For several years now, the issue of women on corporate boards (WOCB) has been a focal point of political debate and academic research (Terjesen, et al., 2009). Previously considered as an ethical imperative for equal opportunities and a social issue (on the basis that is wrong to exclude individuals on the sole grounds of gender, skin color, sexual orientation, etc. regardless of their ability, WOCB is increasingly perceived as a vector of value creation for organizations. Robinson and Dechant (1997) argue that workforce diversity creates a competitive edge for an organization inducing a “business case”.</w:t>
      </w:r>
    </w:p>
    <w:p w14:paraId="05A693D3" w14:textId="77777777" w:rsidR="00634CE5" w:rsidRPr="00AB6617" w:rsidRDefault="00631CD6" w:rsidP="00AB6617">
      <w:pPr>
        <w:pStyle w:val="EndNoteBibliography"/>
        <w:spacing w:before="120" w:after="120"/>
        <w:ind w:firstLine="142"/>
        <w:rPr>
          <w:rFonts w:ascii="Garamond" w:hAnsi="Garamond"/>
          <w:sz w:val="22"/>
        </w:rPr>
      </w:pPr>
      <w:r w:rsidRPr="00AB6617">
        <w:rPr>
          <w:rFonts w:ascii="Garamond" w:hAnsi="Garamond"/>
          <w:sz w:val="22"/>
        </w:rPr>
        <w:t>A growing body of research shows that a broad set of business benefits is associated with WOCB. These include improved financial performanc</w:t>
      </w:r>
      <w:r w:rsidR="00634CE5" w:rsidRPr="00AB6617">
        <w:rPr>
          <w:rFonts w:ascii="Garamond" w:hAnsi="Garamond"/>
          <w:sz w:val="22"/>
        </w:rPr>
        <w:t xml:space="preserve">e and shareholder value (e.g., </w:t>
      </w:r>
      <w:r w:rsidRPr="00AB6617">
        <w:rPr>
          <w:rFonts w:ascii="Garamond" w:hAnsi="Garamond"/>
          <w:sz w:val="22"/>
        </w:rPr>
        <w:t>Campbell and Mínguez-Vera, 2008), increased customer a</w:t>
      </w:r>
      <w:r w:rsidR="00634CE5" w:rsidRPr="00AB6617">
        <w:rPr>
          <w:rFonts w:ascii="Garamond" w:hAnsi="Garamond"/>
          <w:sz w:val="22"/>
        </w:rPr>
        <w:t xml:space="preserve">nd employee satisfaction (e.g. </w:t>
      </w:r>
      <w:r w:rsidRPr="00AB6617">
        <w:rPr>
          <w:rFonts w:ascii="Garamond" w:hAnsi="Garamond"/>
          <w:sz w:val="22"/>
        </w:rPr>
        <w:t>Daily, et al., 1999), rising investor confidence, and greater market kn</w:t>
      </w:r>
      <w:r w:rsidR="00634CE5" w:rsidRPr="00AB6617">
        <w:rPr>
          <w:rFonts w:ascii="Garamond" w:hAnsi="Garamond"/>
          <w:sz w:val="22"/>
        </w:rPr>
        <w:t xml:space="preserve">owledge and reputation (e.g., </w:t>
      </w:r>
      <w:r w:rsidRPr="00AB6617">
        <w:rPr>
          <w:rFonts w:ascii="Garamond" w:hAnsi="Garamond"/>
          <w:sz w:val="22"/>
        </w:rPr>
        <w:t>Bear, et al., 2010).</w:t>
      </w:r>
    </w:p>
    <w:p w14:paraId="6281B78E" w14:textId="77777777" w:rsidR="00631CD6" w:rsidRPr="00AB6617" w:rsidRDefault="00631CD6" w:rsidP="00AB6617">
      <w:pPr>
        <w:pStyle w:val="EndNoteBibliography"/>
        <w:spacing w:before="120" w:after="120"/>
        <w:ind w:firstLine="142"/>
        <w:rPr>
          <w:rFonts w:ascii="Garamond" w:hAnsi="Garamond"/>
          <w:sz w:val="22"/>
        </w:rPr>
      </w:pPr>
      <w:r w:rsidRPr="00AB6617">
        <w:rPr>
          <w:rFonts w:ascii="Garamond" w:hAnsi="Garamond"/>
          <w:sz w:val="22"/>
        </w:rPr>
        <w:t>However, many hot topics remain in many countries nowadays (not exhaustive list)</w:t>
      </w:r>
      <w:r w:rsidR="00634CE5" w:rsidRPr="00AB6617">
        <w:rPr>
          <w:rFonts w:ascii="Garamond" w:hAnsi="Garamond"/>
          <w:sz w:val="22"/>
        </w:rPr>
        <w:t xml:space="preserve"> (cf. Hillman, 2015)</w:t>
      </w:r>
      <w:r w:rsidRPr="00AB6617">
        <w:rPr>
          <w:rFonts w:ascii="Garamond" w:hAnsi="Garamond"/>
          <w:sz w:val="22"/>
        </w:rPr>
        <w:t>:</w:t>
      </w:r>
    </w:p>
    <w:p w14:paraId="256B9B61" w14:textId="77777777" w:rsidR="00634CE5" w:rsidRPr="00AB6617" w:rsidRDefault="00631CD6" w:rsidP="00AB6617">
      <w:pPr>
        <w:pStyle w:val="EndNoteBibliography"/>
        <w:numPr>
          <w:ilvl w:val="0"/>
          <w:numId w:val="2"/>
        </w:numPr>
        <w:spacing w:before="120" w:after="120"/>
        <w:ind w:left="426" w:hanging="284"/>
        <w:rPr>
          <w:rFonts w:ascii="Garamond" w:hAnsi="Garamond"/>
          <w:sz w:val="22"/>
        </w:rPr>
      </w:pPr>
      <w:r w:rsidRPr="00AB6617">
        <w:rPr>
          <w:rFonts w:ascii="Garamond" w:hAnsi="Garamond"/>
          <w:sz w:val="22"/>
        </w:rPr>
        <w:t>How to promote the number of WOCB;</w:t>
      </w:r>
    </w:p>
    <w:p w14:paraId="2C349515" w14:textId="77777777" w:rsidR="00634CE5" w:rsidRPr="00AB6617" w:rsidRDefault="00631CD6" w:rsidP="00AB6617">
      <w:pPr>
        <w:pStyle w:val="EndNoteBibliography"/>
        <w:numPr>
          <w:ilvl w:val="0"/>
          <w:numId w:val="2"/>
        </w:numPr>
        <w:spacing w:before="120" w:after="120"/>
        <w:ind w:left="426" w:hanging="284"/>
        <w:rPr>
          <w:rFonts w:ascii="Garamond" w:hAnsi="Garamond"/>
          <w:sz w:val="22"/>
        </w:rPr>
      </w:pPr>
      <w:r w:rsidRPr="00AB6617">
        <w:rPr>
          <w:rFonts w:ascii="Garamond" w:hAnsi="Garamond"/>
          <w:sz w:val="22"/>
        </w:rPr>
        <w:t>The dynamics create by female directors inside these corporate bodies are important to be examined (Nielsen and Huse, 2010);</w:t>
      </w:r>
    </w:p>
    <w:p w14:paraId="78480CFC" w14:textId="77777777" w:rsidR="00634CE5" w:rsidRPr="00AB6617" w:rsidRDefault="00631CD6" w:rsidP="00AB6617">
      <w:pPr>
        <w:pStyle w:val="EndNoteBibliography"/>
        <w:numPr>
          <w:ilvl w:val="0"/>
          <w:numId w:val="2"/>
        </w:numPr>
        <w:spacing w:before="120" w:after="120"/>
        <w:ind w:left="426" w:hanging="284"/>
        <w:rPr>
          <w:rFonts w:ascii="Garamond" w:hAnsi="Garamond"/>
          <w:sz w:val="22"/>
        </w:rPr>
      </w:pPr>
      <w:r w:rsidRPr="00AB6617">
        <w:rPr>
          <w:rFonts w:ascii="Garamond" w:hAnsi="Garamond"/>
          <w:sz w:val="22"/>
        </w:rPr>
        <w:t>Is there really a business case for board diversity? (Post and Byron, 2015)</w:t>
      </w:r>
      <w:r w:rsidR="00634CE5" w:rsidRPr="00AB6617">
        <w:rPr>
          <w:rFonts w:ascii="Garamond" w:hAnsi="Garamond"/>
          <w:sz w:val="22"/>
        </w:rPr>
        <w:t>;</w:t>
      </w:r>
    </w:p>
    <w:p w14:paraId="7F270EE3" w14:textId="77777777" w:rsidR="00634CE5" w:rsidRPr="00AB6617" w:rsidRDefault="00631CD6" w:rsidP="00AB6617">
      <w:pPr>
        <w:pStyle w:val="EndNoteBibliography"/>
        <w:numPr>
          <w:ilvl w:val="0"/>
          <w:numId w:val="2"/>
        </w:numPr>
        <w:spacing w:before="120" w:after="120"/>
        <w:ind w:left="426" w:hanging="284"/>
        <w:rPr>
          <w:rFonts w:ascii="Garamond" w:hAnsi="Garamond"/>
          <w:sz w:val="22"/>
        </w:rPr>
      </w:pPr>
      <w:r w:rsidRPr="00AB6617">
        <w:rPr>
          <w:rFonts w:ascii="Garamond" w:hAnsi="Garamond"/>
          <w:sz w:val="22"/>
        </w:rPr>
        <w:t>WOCB and CSR (Post and Byron, 2015)</w:t>
      </w:r>
      <w:r w:rsidR="00634CE5" w:rsidRPr="00AB6617">
        <w:rPr>
          <w:rFonts w:ascii="Garamond" w:hAnsi="Garamond"/>
          <w:sz w:val="22"/>
        </w:rPr>
        <w:t>;</w:t>
      </w:r>
    </w:p>
    <w:p w14:paraId="187317AC" w14:textId="77777777" w:rsidR="00634CE5" w:rsidRPr="00AB6617" w:rsidRDefault="00634CE5" w:rsidP="00AB6617">
      <w:pPr>
        <w:pStyle w:val="EndNoteBibliography"/>
        <w:numPr>
          <w:ilvl w:val="0"/>
          <w:numId w:val="2"/>
        </w:numPr>
        <w:spacing w:before="120" w:after="120"/>
        <w:ind w:left="426" w:hanging="284"/>
        <w:rPr>
          <w:rFonts w:ascii="Garamond" w:hAnsi="Garamond"/>
          <w:sz w:val="22"/>
        </w:rPr>
      </w:pPr>
      <w:r w:rsidRPr="00AB6617">
        <w:rPr>
          <w:rFonts w:ascii="Garamond" w:hAnsi="Garamond"/>
          <w:sz w:val="22"/>
        </w:rPr>
        <w:t>Role and place of women on Executive Committee;</w:t>
      </w:r>
    </w:p>
    <w:p w14:paraId="125FE90B" w14:textId="77777777" w:rsidR="00631CD6" w:rsidRPr="00AB6617" w:rsidRDefault="00631CD6" w:rsidP="00AB6617">
      <w:pPr>
        <w:pStyle w:val="EndNoteBibliography"/>
        <w:numPr>
          <w:ilvl w:val="0"/>
          <w:numId w:val="2"/>
        </w:numPr>
        <w:spacing w:before="120" w:after="120"/>
        <w:ind w:left="426" w:hanging="284"/>
        <w:rPr>
          <w:rFonts w:ascii="Garamond" w:hAnsi="Garamond"/>
          <w:sz w:val="22"/>
        </w:rPr>
      </w:pPr>
      <w:r w:rsidRPr="00AB6617">
        <w:rPr>
          <w:rFonts w:ascii="Garamond" w:hAnsi="Garamond"/>
          <w:sz w:val="22"/>
        </w:rPr>
        <w:t>Etc.</w:t>
      </w:r>
    </w:p>
    <w:p w14:paraId="047C1062" w14:textId="77777777" w:rsidR="00C2096E" w:rsidRPr="00AB6617" w:rsidRDefault="00631CD6" w:rsidP="00AB6617">
      <w:pPr>
        <w:pStyle w:val="EndNoteBibliography"/>
        <w:spacing w:before="120" w:after="120"/>
        <w:rPr>
          <w:rFonts w:ascii="Garamond" w:hAnsi="Garamond"/>
          <w:sz w:val="22"/>
        </w:rPr>
      </w:pPr>
      <w:r w:rsidRPr="00AB6617">
        <w:rPr>
          <w:rFonts w:ascii="Garamond" w:hAnsi="Garamond"/>
          <w:sz w:val="22"/>
        </w:rPr>
        <w:t>We encourage submissions coming from different points of view, such as theoretical perspectives, countries/cultures, processes, dynamics and consequences of the representation of WOCB. These are to be understood from the individual, organizational or societal level, or with a multi-level approach and/or cross-cultural view (Terjesen, et al., 2009). We are interested in understanding the mechanisms of WOCB from a multidisciplinary point of view, combining theoretical and methodological perspectives (qualitative or quantitative approaches).</w:t>
      </w:r>
    </w:p>
    <w:p w14:paraId="268D3AB9" w14:textId="77777777" w:rsidR="005845F1" w:rsidRPr="00AB6617" w:rsidRDefault="005934BB" w:rsidP="00AB6617">
      <w:pPr>
        <w:tabs>
          <w:tab w:val="left" w:pos="1134"/>
        </w:tabs>
        <w:spacing w:before="120" w:after="120" w:line="240" w:lineRule="auto"/>
        <w:jc w:val="both"/>
        <w:rPr>
          <w:rFonts w:ascii="Garamond" w:hAnsi="Garamond"/>
          <w:lang w:val="en-GB"/>
        </w:rPr>
      </w:pPr>
      <w:r w:rsidRPr="00AB6617">
        <w:rPr>
          <w:rFonts w:ascii="Garamond" w:hAnsi="Garamond"/>
          <w:bCs/>
          <w:lang w:val="en-US"/>
        </w:rPr>
        <w:t>Nevertheless, the feminization of Corporate Boards is neither the best indicator/descriptor nor the best signal of the effectiveness of a firm’s CSR commitment /gender diversity policy</w:t>
      </w:r>
      <w:r w:rsidR="005845F1" w:rsidRPr="00AB6617">
        <w:rPr>
          <w:rFonts w:ascii="Garamond" w:hAnsi="Garamond"/>
          <w:bCs/>
          <w:lang w:val="en-US"/>
        </w:rPr>
        <w:t xml:space="preserve"> (influence of </w:t>
      </w:r>
      <w:r w:rsidRPr="00AB6617">
        <w:rPr>
          <w:rFonts w:ascii="Garamond" w:hAnsi="Garamond"/>
          <w:bCs/>
          <w:lang w:val="en-US"/>
        </w:rPr>
        <w:t>institutional dynamics, legal constraints and phenomena of normative and mimetic isomorphism</w:t>
      </w:r>
      <w:r w:rsidR="005845F1" w:rsidRPr="00AB6617">
        <w:rPr>
          <w:rFonts w:ascii="Garamond" w:hAnsi="Garamond"/>
          <w:bCs/>
          <w:lang w:val="en-US"/>
        </w:rPr>
        <w:t xml:space="preserve">; </w:t>
      </w:r>
      <w:r w:rsidR="005845F1" w:rsidRPr="00AB6617">
        <w:rPr>
          <w:rFonts w:ascii="Garamond" w:hAnsi="Garamond"/>
          <w:lang w:val="en-GB"/>
        </w:rPr>
        <w:t>firm’s strategy design and decision making escaping, in facts, boards’ perimeter of action…).</w:t>
      </w:r>
    </w:p>
    <w:p w14:paraId="13128AC0" w14:textId="77777777" w:rsidR="005845F1" w:rsidRPr="00AB6617" w:rsidRDefault="003F6788" w:rsidP="00AB6617">
      <w:pPr>
        <w:pStyle w:val="NormalWeb"/>
        <w:shd w:val="clear" w:color="auto" w:fill="FFFFFF"/>
        <w:spacing w:before="120" w:beforeAutospacing="0" w:after="120" w:afterAutospacing="0"/>
        <w:rPr>
          <w:rFonts w:ascii="Garamond" w:hAnsi="Garamond" w:cs="Calibri"/>
          <w:color w:val="000000"/>
          <w:sz w:val="22"/>
          <w:szCs w:val="22"/>
          <w:lang w:val="en-US"/>
        </w:rPr>
      </w:pPr>
      <w:r>
        <w:rPr>
          <w:rFonts w:ascii="Garamond" w:eastAsia="Calibri" w:hAnsi="Garamond"/>
          <w:bCs/>
          <w:sz w:val="22"/>
          <w:szCs w:val="22"/>
          <w:lang w:val="en-US" w:eastAsia="en-US"/>
        </w:rPr>
        <w:t>Thus, we</w:t>
      </w:r>
      <w:r w:rsidR="005845F1" w:rsidRPr="00AB6617">
        <w:rPr>
          <w:rFonts w:ascii="Garamond" w:eastAsia="Calibri" w:hAnsi="Garamond"/>
          <w:bCs/>
          <w:sz w:val="22"/>
          <w:szCs w:val="22"/>
          <w:lang w:val="en-US" w:eastAsia="en-US"/>
        </w:rPr>
        <w:t xml:space="preserve"> encourage the submission of papers addressing the deployment at work of feminine networks, pro diversity </w:t>
      </w:r>
      <w:r w:rsidR="00B87B3F" w:rsidRPr="00AB6617">
        <w:rPr>
          <w:rFonts w:ascii="Garamond" w:eastAsia="Calibri" w:hAnsi="Garamond"/>
          <w:bCs/>
          <w:sz w:val="22"/>
          <w:szCs w:val="22"/>
          <w:lang w:val="en-US" w:eastAsia="en-US"/>
        </w:rPr>
        <w:t>networks and pro-women e</w:t>
      </w:r>
      <w:r w:rsidR="005845F1" w:rsidRPr="00AB6617">
        <w:rPr>
          <w:rFonts w:ascii="Garamond" w:eastAsia="Calibri" w:hAnsi="Garamond"/>
          <w:bCs/>
          <w:sz w:val="22"/>
          <w:szCs w:val="22"/>
          <w:lang w:val="en-US" w:eastAsia="en-US"/>
        </w:rPr>
        <w:t xml:space="preserve">mployees resource groups as </w:t>
      </w:r>
      <w:r w:rsidR="00B87B3F" w:rsidRPr="00AB6617">
        <w:rPr>
          <w:rFonts w:ascii="Garamond" w:eastAsia="Calibri" w:hAnsi="Garamond"/>
          <w:bCs/>
          <w:sz w:val="22"/>
          <w:szCs w:val="22"/>
          <w:lang w:val="en-US" w:eastAsia="en-US"/>
        </w:rPr>
        <w:t xml:space="preserve">well as </w:t>
      </w:r>
      <w:r w:rsidR="005845F1" w:rsidRPr="00AB6617">
        <w:rPr>
          <w:rFonts w:ascii="Garamond" w:eastAsia="Calibri" w:hAnsi="Garamond"/>
          <w:bCs/>
          <w:sz w:val="22"/>
          <w:szCs w:val="22"/>
          <w:lang w:val="en-US" w:eastAsia="en-US"/>
        </w:rPr>
        <w:t xml:space="preserve">high-level talent pools </w:t>
      </w:r>
      <w:r w:rsidR="00B87B3F" w:rsidRPr="00AB6617">
        <w:rPr>
          <w:rFonts w:ascii="Garamond" w:eastAsia="Calibri" w:hAnsi="Garamond"/>
          <w:bCs/>
          <w:sz w:val="22"/>
          <w:szCs w:val="22"/>
          <w:lang w:val="en-US" w:eastAsia="en-US"/>
        </w:rPr>
        <w:t>and future leaders training ponds (</w:t>
      </w:r>
      <w:r w:rsidR="005845F1" w:rsidRPr="00AB6617">
        <w:rPr>
          <w:rFonts w:ascii="Garamond" w:eastAsia="Calibri" w:hAnsi="Garamond"/>
          <w:bCs/>
          <w:sz w:val="22"/>
          <w:szCs w:val="22"/>
          <w:lang w:val="en-US" w:eastAsia="en-US"/>
        </w:rPr>
        <w:t xml:space="preserve">future members of Executive </w:t>
      </w:r>
      <w:r w:rsidR="00B87B3F" w:rsidRPr="00AB6617">
        <w:rPr>
          <w:rFonts w:ascii="Garamond" w:eastAsia="Calibri" w:hAnsi="Garamond"/>
          <w:bCs/>
          <w:sz w:val="22"/>
          <w:szCs w:val="22"/>
          <w:lang w:val="en-US" w:eastAsia="en-US"/>
        </w:rPr>
        <w:t xml:space="preserve">Boards / Corporate Managers…) , </w:t>
      </w:r>
      <w:r w:rsidR="005845F1" w:rsidRPr="00AB6617">
        <w:rPr>
          <w:rFonts w:ascii="Garamond" w:eastAsia="Calibri" w:hAnsi="Garamond"/>
          <w:bCs/>
          <w:sz w:val="22"/>
          <w:szCs w:val="22"/>
          <w:lang w:val="en-US" w:eastAsia="en-US"/>
        </w:rPr>
        <w:t>laborato</w:t>
      </w:r>
      <w:r w:rsidR="005845F1" w:rsidRPr="00AB6617">
        <w:rPr>
          <w:rFonts w:ascii="Garamond" w:eastAsia="Calibri" w:hAnsi="Garamond"/>
          <w:bCs/>
          <w:sz w:val="22"/>
          <w:szCs w:val="22"/>
          <w:lang w:val="en-US" w:eastAsia="en-US"/>
        </w:rPr>
        <w:lastRenderedPageBreak/>
        <w:t>ries</w:t>
      </w:r>
      <w:r w:rsidR="00B87B3F" w:rsidRPr="00AB6617">
        <w:rPr>
          <w:rFonts w:ascii="Garamond" w:eastAsia="Calibri" w:hAnsi="Garamond"/>
          <w:bCs/>
          <w:sz w:val="22"/>
          <w:szCs w:val="22"/>
          <w:lang w:val="en-US" w:eastAsia="en-US"/>
        </w:rPr>
        <w:t xml:space="preserve"> of agility and inclusion (post-modern management)</w:t>
      </w:r>
      <w:r w:rsidR="005845F1" w:rsidRPr="00AB6617">
        <w:rPr>
          <w:rFonts w:ascii="Garamond" w:eastAsia="Calibri" w:hAnsi="Garamond"/>
          <w:bCs/>
          <w:sz w:val="22"/>
          <w:szCs w:val="22"/>
          <w:lang w:val="en-US" w:eastAsia="en-US"/>
        </w:rPr>
        <w:t xml:space="preserve">, incubators </w:t>
      </w:r>
      <w:r w:rsidR="00B87B3F" w:rsidRPr="00AB6617">
        <w:rPr>
          <w:rFonts w:ascii="Garamond" w:eastAsia="Calibri" w:hAnsi="Garamond"/>
          <w:bCs/>
          <w:sz w:val="22"/>
          <w:szCs w:val="22"/>
          <w:lang w:val="en-US" w:eastAsia="en-US"/>
        </w:rPr>
        <w:t xml:space="preserve">of innovation </w:t>
      </w:r>
      <w:r w:rsidR="005845F1" w:rsidRPr="00AB6617">
        <w:rPr>
          <w:rFonts w:ascii="Garamond" w:eastAsia="Calibri" w:hAnsi="Garamond"/>
          <w:bCs/>
          <w:sz w:val="22"/>
          <w:szCs w:val="22"/>
          <w:lang w:val="en-US" w:eastAsia="en-US"/>
        </w:rPr>
        <w:t xml:space="preserve">and key-levers </w:t>
      </w:r>
      <w:r w:rsidR="00B87B3F" w:rsidRPr="00AB6617">
        <w:rPr>
          <w:rFonts w:ascii="Garamond" w:eastAsia="Calibri" w:hAnsi="Garamond"/>
          <w:bCs/>
          <w:sz w:val="22"/>
          <w:szCs w:val="22"/>
          <w:lang w:val="en-US" w:eastAsia="en-US"/>
        </w:rPr>
        <w:t>of gender equality at work.</w:t>
      </w:r>
    </w:p>
    <w:p w14:paraId="49619C6D" w14:textId="77777777" w:rsidR="00B865B0" w:rsidRPr="00AB6617" w:rsidRDefault="00B87B3F" w:rsidP="00AB6617">
      <w:pPr>
        <w:pStyle w:val="EndNoteBibliography"/>
        <w:spacing w:before="120" w:after="120"/>
        <w:rPr>
          <w:rFonts w:ascii="Garamond" w:hAnsi="Garamond"/>
          <w:sz w:val="22"/>
        </w:rPr>
      </w:pPr>
      <w:r w:rsidRPr="00AB6617">
        <w:rPr>
          <w:rFonts w:ascii="Garamond" w:hAnsi="Garamond"/>
          <w:sz w:val="22"/>
        </w:rPr>
        <w:t xml:space="preserve">Consequently, </w:t>
      </w:r>
      <w:r w:rsidR="003F6788">
        <w:rPr>
          <w:rFonts w:ascii="Garamond" w:hAnsi="Garamond"/>
          <w:sz w:val="22"/>
        </w:rPr>
        <w:t>the papers could</w:t>
      </w:r>
      <w:r w:rsidR="00663A8C" w:rsidRPr="00AB6617">
        <w:rPr>
          <w:rFonts w:ascii="Garamond" w:hAnsi="Garamond"/>
          <w:sz w:val="22"/>
        </w:rPr>
        <w:t xml:space="preserve"> investigate</w:t>
      </w:r>
      <w:r w:rsidR="00DD2D1A" w:rsidRPr="00AB6617">
        <w:rPr>
          <w:rFonts w:ascii="Garamond" w:hAnsi="Garamond"/>
          <w:sz w:val="22"/>
        </w:rPr>
        <w:t xml:space="preserve"> </w:t>
      </w:r>
      <w:r w:rsidR="000270A1" w:rsidRPr="00AB6617">
        <w:rPr>
          <w:rFonts w:ascii="Garamond" w:hAnsi="Garamond"/>
          <w:sz w:val="22"/>
        </w:rPr>
        <w:t>the strategic challe</w:t>
      </w:r>
      <w:r w:rsidR="00246380" w:rsidRPr="00AB6617">
        <w:rPr>
          <w:rFonts w:ascii="Garamond" w:hAnsi="Garamond"/>
          <w:sz w:val="22"/>
        </w:rPr>
        <w:t xml:space="preserve">nges </w:t>
      </w:r>
      <w:r w:rsidRPr="00AB6617">
        <w:rPr>
          <w:rFonts w:ascii="Garamond" w:hAnsi="Garamond"/>
          <w:sz w:val="22"/>
        </w:rPr>
        <w:t xml:space="preserve">pushing firms to create, support, </w:t>
      </w:r>
      <w:r w:rsidR="00B865B0" w:rsidRPr="00AB6617">
        <w:rPr>
          <w:rFonts w:ascii="Garamond" w:hAnsi="Garamond"/>
          <w:sz w:val="22"/>
        </w:rPr>
        <w:t xml:space="preserve">“consacrate” (or, </w:t>
      </w:r>
      <w:r w:rsidR="00B865B0" w:rsidRPr="00AB6617">
        <w:rPr>
          <w:rFonts w:ascii="Garamond" w:hAnsi="Garamond"/>
          <w:i/>
          <w:sz w:val="22"/>
        </w:rPr>
        <w:t xml:space="preserve">a minima, </w:t>
      </w:r>
      <w:r w:rsidRPr="00AB6617">
        <w:rPr>
          <w:rFonts w:ascii="Garamond" w:hAnsi="Garamond"/>
          <w:sz w:val="22"/>
        </w:rPr>
        <w:t xml:space="preserve">does not block or </w:t>
      </w:r>
      <w:r w:rsidR="00B865B0" w:rsidRPr="00AB6617">
        <w:rPr>
          <w:rFonts w:ascii="Garamond" w:hAnsi="Garamond"/>
          <w:sz w:val="22"/>
        </w:rPr>
        <w:t>brake) intra-organisational women’s networks (</w:t>
      </w:r>
      <w:r w:rsidR="00246380" w:rsidRPr="00AB6617">
        <w:rPr>
          <w:rFonts w:ascii="Garamond" w:hAnsi="Garamond"/>
          <w:sz w:val="22"/>
        </w:rPr>
        <w:t xml:space="preserve">legitimation </w:t>
      </w:r>
      <w:r w:rsidR="00B865B0" w:rsidRPr="00AB6617">
        <w:rPr>
          <w:rFonts w:ascii="Garamond" w:hAnsi="Garamond"/>
          <w:sz w:val="22"/>
        </w:rPr>
        <w:t>tool), and specularly, the key-reasons urging (and encouraging) women to create, postulare, join, support and/or lead feminine or pro-gender diversity clubs (</w:t>
      </w:r>
      <w:r w:rsidR="00246380" w:rsidRPr="00AB6617">
        <w:rPr>
          <w:rFonts w:ascii="Garamond" w:hAnsi="Garamond"/>
          <w:sz w:val="22"/>
        </w:rPr>
        <w:t>personal development</w:t>
      </w:r>
      <w:r w:rsidR="00B865B0" w:rsidRPr="00AB6617">
        <w:rPr>
          <w:rFonts w:ascii="Garamond" w:hAnsi="Garamond"/>
          <w:sz w:val="22"/>
        </w:rPr>
        <w:t xml:space="preserve"> opportunity; </w:t>
      </w:r>
      <w:r w:rsidR="00246380" w:rsidRPr="00AB6617">
        <w:rPr>
          <w:rFonts w:ascii="Garamond" w:hAnsi="Garamond"/>
          <w:sz w:val="22"/>
        </w:rPr>
        <w:t>advocacy tool</w:t>
      </w:r>
      <w:r w:rsidR="00B865B0" w:rsidRPr="00AB6617">
        <w:rPr>
          <w:rFonts w:ascii="Garamond" w:hAnsi="Garamond"/>
          <w:sz w:val="22"/>
        </w:rPr>
        <w:t xml:space="preserve">; </w:t>
      </w:r>
      <w:r w:rsidR="00246380" w:rsidRPr="00AB6617">
        <w:rPr>
          <w:rFonts w:ascii="Garamond" w:hAnsi="Garamond"/>
          <w:sz w:val="22"/>
        </w:rPr>
        <w:t>collective action instrument</w:t>
      </w:r>
      <w:r w:rsidR="00B865B0" w:rsidRPr="00AB6617">
        <w:rPr>
          <w:rFonts w:ascii="Garamond" w:hAnsi="Garamond"/>
          <w:sz w:val="22"/>
        </w:rPr>
        <w:t>…</w:t>
      </w:r>
      <w:r w:rsidR="00246380" w:rsidRPr="00AB6617">
        <w:rPr>
          <w:rFonts w:ascii="Garamond" w:hAnsi="Garamond"/>
          <w:sz w:val="22"/>
        </w:rPr>
        <w:t>)</w:t>
      </w:r>
      <w:r w:rsidR="00B865B0" w:rsidRPr="00AB6617">
        <w:rPr>
          <w:rFonts w:ascii="Garamond" w:hAnsi="Garamond"/>
          <w:sz w:val="22"/>
        </w:rPr>
        <w:t>.</w:t>
      </w:r>
    </w:p>
    <w:p w14:paraId="40BACFAC" w14:textId="77777777" w:rsidR="000270A1" w:rsidRPr="00AB6617" w:rsidRDefault="00B865B0" w:rsidP="00AB6617">
      <w:pPr>
        <w:pStyle w:val="EndNoteBibliography"/>
        <w:spacing w:before="120" w:after="120"/>
        <w:rPr>
          <w:rFonts w:ascii="Garamond" w:hAnsi="Garamond"/>
          <w:sz w:val="22"/>
        </w:rPr>
      </w:pPr>
      <w:r w:rsidRPr="00AB6617">
        <w:rPr>
          <w:rFonts w:ascii="Garamond" w:hAnsi="Garamond"/>
          <w:sz w:val="22"/>
        </w:rPr>
        <w:t>The submission could explore, complementarly, the a</w:t>
      </w:r>
      <w:r w:rsidR="00246380" w:rsidRPr="00AB6617">
        <w:rPr>
          <w:rFonts w:ascii="Garamond" w:hAnsi="Garamond"/>
          <w:sz w:val="22"/>
        </w:rPr>
        <w:t>rbitrages (risk</w:t>
      </w:r>
      <w:r w:rsidRPr="00AB6617">
        <w:rPr>
          <w:rFonts w:ascii="Garamond" w:hAnsi="Garamond"/>
          <w:sz w:val="22"/>
        </w:rPr>
        <w:t>s</w:t>
      </w:r>
      <w:r w:rsidR="00246380" w:rsidRPr="00AB6617">
        <w:rPr>
          <w:rFonts w:ascii="Garamond" w:hAnsi="Garamond"/>
          <w:sz w:val="22"/>
        </w:rPr>
        <w:t xml:space="preserve">/opportunities) </w:t>
      </w:r>
      <w:r w:rsidR="000270A1" w:rsidRPr="00AB6617">
        <w:rPr>
          <w:rFonts w:ascii="Garamond" w:hAnsi="Garamond"/>
          <w:sz w:val="22"/>
        </w:rPr>
        <w:t>inherent to the creation</w:t>
      </w:r>
      <w:r w:rsidR="00DD5663" w:rsidRPr="00AB6617">
        <w:rPr>
          <w:rFonts w:ascii="Garamond" w:hAnsi="Garamond"/>
          <w:sz w:val="22"/>
        </w:rPr>
        <w:t xml:space="preserve"> (maintain or disruption)</w:t>
      </w:r>
      <w:r w:rsidR="000270A1" w:rsidRPr="00AB6617">
        <w:rPr>
          <w:rFonts w:ascii="Garamond" w:hAnsi="Garamond"/>
          <w:sz w:val="22"/>
        </w:rPr>
        <w:t xml:space="preserve">, support (or boycott) and developpement (or curbing) of women networks (for the </w:t>
      </w:r>
      <w:r w:rsidR="00DD5663" w:rsidRPr="00AB6617">
        <w:rPr>
          <w:rFonts w:ascii="Garamond" w:hAnsi="Garamond"/>
          <w:sz w:val="22"/>
        </w:rPr>
        <w:t>entreprises</w:t>
      </w:r>
      <w:r w:rsidR="000270A1" w:rsidRPr="00AB6617">
        <w:rPr>
          <w:rFonts w:ascii="Garamond" w:hAnsi="Garamond"/>
          <w:sz w:val="22"/>
        </w:rPr>
        <w:t xml:space="preserve">) and </w:t>
      </w:r>
      <w:r w:rsidR="00DD5663" w:rsidRPr="00AB6617">
        <w:rPr>
          <w:rFonts w:ascii="Garamond" w:hAnsi="Garamond"/>
          <w:sz w:val="22"/>
        </w:rPr>
        <w:t>the ethical dilemmas inherent to the membership/affiliation/implication of women (n these affinity/advocacy femine networks (this investigation could be particualrly stimulating for feminine managers and decision-makers).</w:t>
      </w:r>
    </w:p>
    <w:p w14:paraId="59BDDDAA" w14:textId="77777777" w:rsidR="00785BF4" w:rsidRPr="00AB6617" w:rsidRDefault="00DD5663" w:rsidP="00AB6617">
      <w:pPr>
        <w:pStyle w:val="EndNoteBibliography"/>
        <w:spacing w:before="120" w:after="120"/>
        <w:rPr>
          <w:rFonts w:ascii="Garamond" w:hAnsi="Garamond"/>
          <w:sz w:val="22"/>
        </w:rPr>
      </w:pPr>
      <w:r w:rsidRPr="00AB6617">
        <w:rPr>
          <w:rFonts w:ascii="Garamond" w:hAnsi="Garamond"/>
          <w:sz w:val="22"/>
        </w:rPr>
        <w:t xml:space="preserve">In addition, we encourage papers </w:t>
      </w:r>
      <w:r w:rsidR="00BF2305" w:rsidRPr="00AB6617">
        <w:rPr>
          <w:rFonts w:ascii="Garamond" w:hAnsi="Garamond"/>
          <w:sz w:val="22"/>
        </w:rPr>
        <w:t xml:space="preserve">describing women networks’ </w:t>
      </w:r>
      <w:r w:rsidR="00785BF4" w:rsidRPr="00AB6617">
        <w:rPr>
          <w:rFonts w:ascii="Garamond" w:hAnsi="Garamond"/>
          <w:sz w:val="22"/>
        </w:rPr>
        <w:t xml:space="preserve">morphology, </w:t>
      </w:r>
      <w:r w:rsidR="00BF2305" w:rsidRPr="00AB6617">
        <w:rPr>
          <w:rFonts w:ascii="Garamond" w:hAnsi="Garamond"/>
          <w:sz w:val="22"/>
        </w:rPr>
        <w:t>decrypting their s</w:t>
      </w:r>
      <w:r w:rsidR="00785BF4" w:rsidRPr="00AB6617">
        <w:rPr>
          <w:rFonts w:ascii="Garamond" w:hAnsi="Garamond"/>
          <w:sz w:val="22"/>
        </w:rPr>
        <w:t xml:space="preserve">ocio-organisational mechanims and </w:t>
      </w:r>
      <w:r w:rsidR="00BF2305" w:rsidRPr="00AB6617">
        <w:rPr>
          <w:rFonts w:ascii="Garamond" w:hAnsi="Garamond"/>
          <w:sz w:val="22"/>
        </w:rPr>
        <w:t>their operational tools</w:t>
      </w:r>
      <w:r w:rsidR="00785BF4" w:rsidRPr="00AB6617">
        <w:rPr>
          <w:rFonts w:ascii="Garamond" w:hAnsi="Garamond"/>
          <w:sz w:val="22"/>
        </w:rPr>
        <w:t xml:space="preserve"> </w:t>
      </w:r>
      <w:r w:rsidR="00BF2305" w:rsidRPr="00AB6617">
        <w:rPr>
          <w:rFonts w:ascii="Garamond" w:hAnsi="Garamond"/>
          <w:sz w:val="22"/>
        </w:rPr>
        <w:t>as well as empirical envidences on the</w:t>
      </w:r>
      <w:r w:rsidR="00117FB3" w:rsidRPr="00AB6617">
        <w:rPr>
          <w:rFonts w:ascii="Garamond" w:hAnsi="Garamond"/>
          <w:sz w:val="22"/>
        </w:rPr>
        <w:t xml:space="preserve"> evolution of </w:t>
      </w:r>
      <w:r w:rsidR="00BF2305" w:rsidRPr="00AB6617">
        <w:rPr>
          <w:rFonts w:ascii="Garamond" w:hAnsi="Garamond"/>
          <w:sz w:val="22"/>
        </w:rPr>
        <w:t xml:space="preserve">networks’ </w:t>
      </w:r>
      <w:r w:rsidR="00117FB3" w:rsidRPr="00AB6617">
        <w:rPr>
          <w:rFonts w:ascii="Garamond" w:hAnsi="Garamond"/>
          <w:sz w:val="22"/>
        </w:rPr>
        <w:t>morphology</w:t>
      </w:r>
      <w:r w:rsidR="00BF2305" w:rsidRPr="00AB6617">
        <w:rPr>
          <w:rFonts w:ascii="Garamond" w:hAnsi="Garamond"/>
          <w:sz w:val="22"/>
        </w:rPr>
        <w:t>, p</w:t>
      </w:r>
      <w:r w:rsidR="00117FB3" w:rsidRPr="00AB6617">
        <w:rPr>
          <w:rFonts w:ascii="Garamond" w:hAnsi="Garamond"/>
          <w:sz w:val="22"/>
        </w:rPr>
        <w:t>erimeter, functionning, identity and</w:t>
      </w:r>
      <w:r w:rsidR="00785BF4" w:rsidRPr="00AB6617">
        <w:rPr>
          <w:rFonts w:ascii="Garamond" w:hAnsi="Garamond"/>
          <w:sz w:val="22"/>
        </w:rPr>
        <w:t xml:space="preserve"> identification </w:t>
      </w:r>
      <w:r w:rsidR="00117FB3" w:rsidRPr="00AB6617">
        <w:rPr>
          <w:rFonts w:ascii="Garamond" w:hAnsi="Garamond"/>
          <w:sz w:val="22"/>
        </w:rPr>
        <w:t>dynamics (di</w:t>
      </w:r>
      <w:r w:rsidR="00785BF4" w:rsidRPr="00AB6617">
        <w:rPr>
          <w:rFonts w:ascii="Garamond" w:hAnsi="Garamond"/>
          <w:sz w:val="22"/>
        </w:rPr>
        <w:t>achronical perspective).</w:t>
      </w:r>
    </w:p>
    <w:p w14:paraId="63ED96FA" w14:textId="77777777" w:rsidR="00DE6204" w:rsidRPr="00AB6617" w:rsidRDefault="000270A1" w:rsidP="00AB6617">
      <w:pPr>
        <w:pStyle w:val="EndNoteBibliography"/>
        <w:spacing w:before="120" w:after="120"/>
        <w:rPr>
          <w:rFonts w:ascii="Garamond" w:hAnsi="Garamond"/>
          <w:sz w:val="22"/>
        </w:rPr>
      </w:pPr>
      <w:r w:rsidRPr="00AB6617">
        <w:rPr>
          <w:rFonts w:ascii="Garamond" w:hAnsi="Garamond"/>
          <w:sz w:val="22"/>
        </w:rPr>
        <w:t>T</w:t>
      </w:r>
      <w:r w:rsidR="00DD2D1A" w:rsidRPr="00AB6617">
        <w:rPr>
          <w:rFonts w:ascii="Garamond" w:hAnsi="Garamond"/>
          <w:sz w:val="22"/>
        </w:rPr>
        <w:t xml:space="preserve">he impacts of women networks (feminine affinity networks, pro-women employee resource groups, pro- gender diversity advocacy networks…) </w:t>
      </w:r>
      <w:r w:rsidR="00DE6204" w:rsidRPr="00AB6617">
        <w:rPr>
          <w:rFonts w:ascii="Garamond" w:hAnsi="Garamond"/>
          <w:sz w:val="22"/>
        </w:rPr>
        <w:t xml:space="preserve">on team creativity and organisational learning stimulation, as well as on managerial, technical and technological innovation and, finally, global performance (organisationa, </w:t>
      </w:r>
      <w:r w:rsidR="00BF2305" w:rsidRPr="00AB6617">
        <w:rPr>
          <w:rFonts w:ascii="Garamond" w:hAnsi="Garamond"/>
          <w:sz w:val="22"/>
        </w:rPr>
        <w:t>social and/or economic as well) shoud be empirically explored.</w:t>
      </w:r>
    </w:p>
    <w:p w14:paraId="2CC5D4F4" w14:textId="77777777" w:rsidR="00DD2D1A" w:rsidRPr="00AB6617" w:rsidRDefault="00DE6204" w:rsidP="00AB6617">
      <w:pPr>
        <w:pStyle w:val="EndNoteBibliography"/>
        <w:spacing w:before="120" w:after="120"/>
        <w:rPr>
          <w:rFonts w:ascii="Garamond" w:hAnsi="Garamond"/>
          <w:sz w:val="22"/>
        </w:rPr>
      </w:pPr>
      <w:r w:rsidRPr="00AB6617">
        <w:rPr>
          <w:rFonts w:ascii="Garamond" w:hAnsi="Garamond"/>
          <w:sz w:val="22"/>
        </w:rPr>
        <w:t xml:space="preserve">The feminine or pro-women netwoks </w:t>
      </w:r>
      <w:r w:rsidR="00BF2305" w:rsidRPr="00AB6617">
        <w:rPr>
          <w:rFonts w:ascii="Garamond" w:hAnsi="Garamond"/>
          <w:sz w:val="22"/>
        </w:rPr>
        <w:t>could be</w:t>
      </w:r>
      <w:r w:rsidRPr="00AB6617">
        <w:rPr>
          <w:rFonts w:ascii="Garamond" w:hAnsi="Garamond"/>
          <w:sz w:val="22"/>
        </w:rPr>
        <w:t xml:space="preserve"> l</w:t>
      </w:r>
      <w:r w:rsidR="00DD2D1A" w:rsidRPr="00AB6617">
        <w:rPr>
          <w:rFonts w:ascii="Garamond" w:hAnsi="Garamond"/>
          <w:sz w:val="22"/>
        </w:rPr>
        <w:t>ooked as</w:t>
      </w:r>
      <w:r w:rsidRPr="00AB6617">
        <w:rPr>
          <w:rFonts w:ascii="Garamond" w:hAnsi="Garamond"/>
          <w:sz w:val="22"/>
        </w:rPr>
        <w:t xml:space="preserve"> spaces</w:t>
      </w:r>
      <w:r w:rsidR="00DD2D1A" w:rsidRPr="00AB6617">
        <w:rPr>
          <w:rFonts w:ascii="Garamond" w:hAnsi="Garamond"/>
          <w:sz w:val="22"/>
        </w:rPr>
        <w:t xml:space="preserve"> of gender diversity </w:t>
      </w:r>
      <w:r w:rsidRPr="00AB6617">
        <w:rPr>
          <w:rFonts w:ascii="Garamond" w:hAnsi="Garamond"/>
          <w:sz w:val="22"/>
        </w:rPr>
        <w:t>and women’s professional developpement, networking, mentoring, coaching and empowerment, spaces of mutual caring at work, levers of information sharing and knowledge developpement as well as laboratories of creativity, prospective thought and business.</w:t>
      </w:r>
    </w:p>
    <w:p w14:paraId="3C877034" w14:textId="77777777" w:rsidR="00785BF4" w:rsidRPr="00AB6617" w:rsidRDefault="00DE6204" w:rsidP="00AB6617">
      <w:pPr>
        <w:pStyle w:val="EndNoteBibliography"/>
        <w:spacing w:before="120" w:after="120"/>
        <w:rPr>
          <w:rFonts w:ascii="Garamond" w:hAnsi="Garamond"/>
          <w:sz w:val="22"/>
        </w:rPr>
      </w:pPr>
      <w:r w:rsidRPr="00AB6617">
        <w:rPr>
          <w:rFonts w:ascii="Garamond" w:hAnsi="Garamond"/>
          <w:sz w:val="22"/>
        </w:rPr>
        <w:t>Finally, the feminine or pro-women netwoks shoud be investigated as s</w:t>
      </w:r>
      <w:r w:rsidR="000270A1" w:rsidRPr="00AB6617">
        <w:rPr>
          <w:rFonts w:ascii="Garamond" w:hAnsi="Garamond"/>
          <w:sz w:val="22"/>
        </w:rPr>
        <w:t xml:space="preserve">upporting, substituing, palliative </w:t>
      </w:r>
      <w:r w:rsidR="00246380" w:rsidRPr="00AB6617">
        <w:rPr>
          <w:rFonts w:ascii="Garamond" w:hAnsi="Garamond"/>
          <w:sz w:val="22"/>
        </w:rPr>
        <w:t xml:space="preserve">instruments </w:t>
      </w:r>
      <w:r w:rsidR="00785BF4" w:rsidRPr="00AB6617">
        <w:rPr>
          <w:rFonts w:ascii="Garamond" w:hAnsi="Garamond"/>
          <w:sz w:val="22"/>
        </w:rPr>
        <w:t xml:space="preserve">to </w:t>
      </w:r>
      <w:r w:rsidR="00BA75EB" w:rsidRPr="00AB6617">
        <w:rPr>
          <w:rFonts w:ascii="Garamond" w:hAnsi="Garamond"/>
          <w:sz w:val="22"/>
        </w:rPr>
        <w:t xml:space="preserve">achieve </w:t>
      </w:r>
      <w:r w:rsidR="00785BF4" w:rsidRPr="00AB6617">
        <w:rPr>
          <w:rFonts w:ascii="Garamond" w:hAnsi="Garamond"/>
          <w:sz w:val="22"/>
        </w:rPr>
        <w:t xml:space="preserve">gender equality </w:t>
      </w:r>
      <w:r w:rsidR="00BA75EB" w:rsidRPr="00AB6617">
        <w:rPr>
          <w:rFonts w:ascii="Garamond" w:hAnsi="Garamond"/>
          <w:sz w:val="22"/>
        </w:rPr>
        <w:t xml:space="preserve">at work </w:t>
      </w:r>
      <w:r w:rsidR="00785BF4" w:rsidRPr="00AB6617">
        <w:rPr>
          <w:rFonts w:ascii="Garamond" w:hAnsi="Garamond"/>
          <w:sz w:val="22"/>
        </w:rPr>
        <w:t>(femininisation of executive commitees, managerial commitees, future leaders pools and finally Corporate Boards…).</w:t>
      </w:r>
    </w:p>
    <w:p w14:paraId="32E85362" w14:textId="77777777" w:rsidR="00117FB3" w:rsidRPr="00AB6617" w:rsidRDefault="00117FB3" w:rsidP="00AB6617">
      <w:pPr>
        <w:spacing w:before="120" w:after="120" w:line="240" w:lineRule="auto"/>
        <w:jc w:val="both"/>
        <w:rPr>
          <w:rFonts w:ascii="Garamond" w:hAnsi="Garamond"/>
          <w:bCs/>
          <w:lang w:val="en-US"/>
        </w:rPr>
      </w:pPr>
      <w:r w:rsidRPr="00AB6617">
        <w:rPr>
          <w:rFonts w:ascii="Garamond" w:hAnsi="Garamond"/>
          <w:bCs/>
          <w:lang w:val="en-US"/>
        </w:rPr>
        <w:t>The Stream addresses the critical issues of gender diversity and inclusion in organizations, promoting and adopting an</w:t>
      </w:r>
      <w:r w:rsidR="003E1342" w:rsidRPr="00AB6617">
        <w:rPr>
          <w:rFonts w:ascii="Garamond" w:hAnsi="Garamond"/>
          <w:bCs/>
          <w:lang w:val="en-US"/>
        </w:rPr>
        <w:t xml:space="preserve"> opened,</w:t>
      </w:r>
      <w:r w:rsidRPr="00AB6617">
        <w:rPr>
          <w:rFonts w:ascii="Garamond" w:hAnsi="Garamond"/>
          <w:bCs/>
          <w:lang w:val="en-US"/>
        </w:rPr>
        <w:t xml:space="preserve"> interdisciplinary, international and trans-methodological approach. It hosts innovative papers without any methodological restriction (qualitative, quantitative approach, theoretical approach, mixed-methods are accepted) that could enrich the state of knowledge and enlighten managerial practices.  </w:t>
      </w:r>
    </w:p>
    <w:p w14:paraId="15D39DF0" w14:textId="77777777" w:rsidR="00117FB3" w:rsidRPr="00AB6617" w:rsidRDefault="00117FB3" w:rsidP="00AB6617">
      <w:pPr>
        <w:pStyle w:val="EndNoteBibliography"/>
        <w:spacing w:before="120" w:after="120"/>
        <w:rPr>
          <w:rFonts w:ascii="Garamond" w:hAnsi="Garamond"/>
          <w:sz w:val="22"/>
        </w:rPr>
      </w:pPr>
      <w:r w:rsidRPr="00AB6617">
        <w:rPr>
          <w:rFonts w:ascii="Garamond" w:hAnsi="Garamond"/>
          <w:sz w:val="22"/>
        </w:rPr>
        <w:t>In addition, t</w:t>
      </w:r>
      <w:r w:rsidRPr="00AB6617">
        <w:rPr>
          <w:rFonts w:ascii="Garamond" w:hAnsi="Garamond"/>
          <w:bCs/>
          <w:sz w:val="22"/>
        </w:rPr>
        <w:t xml:space="preserve">he </w:t>
      </w:r>
      <w:r w:rsidRPr="00AB6617">
        <w:rPr>
          <w:rFonts w:ascii="Garamond" w:hAnsi="Garamond"/>
          <w:bCs/>
          <w:i/>
          <w:sz w:val="22"/>
        </w:rPr>
        <w:t>Stream</w:t>
      </w:r>
      <w:r w:rsidRPr="00AB6617">
        <w:rPr>
          <w:rFonts w:ascii="Garamond" w:hAnsi="Garamond"/>
          <w:bCs/>
          <w:sz w:val="22"/>
        </w:rPr>
        <w:t xml:space="preserve"> would include</w:t>
      </w:r>
      <w:r w:rsidRPr="00AB6617">
        <w:rPr>
          <w:rFonts w:ascii="Garamond" w:hAnsi="Garamond"/>
          <w:sz w:val="22"/>
        </w:rPr>
        <w:t xml:space="preserve"> papers focusing on ::</w:t>
      </w:r>
    </w:p>
    <w:p w14:paraId="725EB0AA" w14:textId="77777777" w:rsidR="00BA75EB" w:rsidRPr="00AB6617" w:rsidRDefault="00663A8C" w:rsidP="00AB6617">
      <w:pPr>
        <w:numPr>
          <w:ilvl w:val="1"/>
          <w:numId w:val="4"/>
        </w:numPr>
        <w:tabs>
          <w:tab w:val="left" w:pos="284"/>
          <w:tab w:val="left" w:pos="1134"/>
        </w:tabs>
        <w:spacing w:before="120" w:after="120" w:line="240" w:lineRule="auto"/>
        <w:ind w:left="284" w:hanging="142"/>
        <w:jc w:val="both"/>
        <w:rPr>
          <w:rFonts w:ascii="Garamond" w:hAnsi="Garamond"/>
          <w:bCs/>
          <w:lang w:val="en-US"/>
        </w:rPr>
      </w:pPr>
      <w:r w:rsidRPr="00AB6617">
        <w:rPr>
          <w:rFonts w:ascii="Garamond" w:hAnsi="Garamond"/>
          <w:bCs/>
          <w:lang w:val="en-US"/>
        </w:rPr>
        <w:t>Complementarities, rivalries or parallelisms in advocacy missions among pro-diversity networks (gender-based, LGBT, aging, cultural, philosophical/political or ethnical oriented networks…)</w:t>
      </w:r>
    </w:p>
    <w:p w14:paraId="35AC579B" w14:textId="77777777" w:rsidR="00BA75EB" w:rsidRPr="00AB6617" w:rsidRDefault="00663A8C" w:rsidP="00AB6617">
      <w:pPr>
        <w:numPr>
          <w:ilvl w:val="1"/>
          <w:numId w:val="4"/>
        </w:numPr>
        <w:tabs>
          <w:tab w:val="left" w:pos="284"/>
          <w:tab w:val="left" w:pos="1134"/>
        </w:tabs>
        <w:spacing w:before="120" w:after="120" w:line="240" w:lineRule="auto"/>
        <w:ind w:left="284" w:hanging="142"/>
        <w:jc w:val="both"/>
        <w:rPr>
          <w:rFonts w:ascii="Garamond" w:hAnsi="Garamond"/>
          <w:bCs/>
          <w:lang w:val="en-US"/>
        </w:rPr>
      </w:pPr>
      <w:r w:rsidRPr="00AB6617">
        <w:rPr>
          <w:rFonts w:ascii="Garamond" w:hAnsi="Garamond"/>
          <w:bCs/>
          <w:lang w:val="en-US"/>
        </w:rPr>
        <w:t xml:space="preserve">Differences and proximities among </w:t>
      </w:r>
      <w:r w:rsidRPr="00AB6617">
        <w:rPr>
          <w:rFonts w:ascii="Garamond" w:hAnsi="Garamond"/>
          <w:bCs/>
          <w:i/>
          <w:lang w:val="en-US"/>
        </w:rPr>
        <w:t>advocacy networks</w:t>
      </w:r>
      <w:r w:rsidRPr="00AB6617">
        <w:rPr>
          <w:rFonts w:ascii="Garamond" w:hAnsi="Garamond"/>
          <w:bCs/>
          <w:lang w:val="en-US"/>
        </w:rPr>
        <w:t xml:space="preserve"> and </w:t>
      </w:r>
      <w:r w:rsidRPr="00AB6617">
        <w:rPr>
          <w:rFonts w:ascii="Garamond" w:hAnsi="Garamond"/>
          <w:bCs/>
          <w:i/>
          <w:lang w:val="en-US"/>
        </w:rPr>
        <w:t>affinity networks</w:t>
      </w:r>
      <w:r w:rsidRPr="00AB6617">
        <w:rPr>
          <w:rFonts w:ascii="Garamond" w:hAnsi="Garamond"/>
          <w:bCs/>
          <w:lang w:val="en-US"/>
        </w:rPr>
        <w:t xml:space="preserve"> (</w:t>
      </w:r>
      <w:r w:rsidR="003F46C0" w:rsidRPr="00AB6617">
        <w:rPr>
          <w:rFonts w:ascii="Garamond" w:hAnsi="Garamond"/>
          <w:bCs/>
          <w:lang w:val="en-US"/>
        </w:rPr>
        <w:t xml:space="preserve">advocacy </w:t>
      </w:r>
      <w:r w:rsidRPr="00AB6617">
        <w:rPr>
          <w:rFonts w:ascii="Garamond" w:hAnsi="Garamond"/>
          <w:bCs/>
          <w:lang w:val="en-US"/>
        </w:rPr>
        <w:t xml:space="preserve">as an affinity, affinity as </w:t>
      </w:r>
      <w:r w:rsidR="003F46C0" w:rsidRPr="00AB6617">
        <w:rPr>
          <w:rFonts w:ascii="Garamond" w:hAnsi="Garamond"/>
          <w:bCs/>
          <w:lang w:val="en-US"/>
        </w:rPr>
        <w:t>a cause to advocate</w:t>
      </w:r>
      <w:r w:rsidRPr="00AB6617">
        <w:rPr>
          <w:rFonts w:ascii="Garamond" w:hAnsi="Garamond"/>
          <w:bCs/>
          <w:lang w:val="en-US"/>
        </w:rPr>
        <w:t xml:space="preserve"> or affinity as </w:t>
      </w:r>
      <w:r w:rsidR="003F46C0" w:rsidRPr="00AB6617">
        <w:rPr>
          <w:rFonts w:ascii="Garamond" w:hAnsi="Garamond"/>
          <w:bCs/>
          <w:lang w:val="en-US"/>
        </w:rPr>
        <w:t xml:space="preserve">opened way to advocate </w:t>
      </w:r>
      <w:r w:rsidRPr="00AB6617">
        <w:rPr>
          <w:rFonts w:ascii="Garamond" w:hAnsi="Garamond"/>
          <w:bCs/>
          <w:lang w:val="en-US"/>
        </w:rPr>
        <w:t>more universal / holistic cause</w:t>
      </w:r>
      <w:r w:rsidR="003F46C0" w:rsidRPr="00AB6617">
        <w:rPr>
          <w:rFonts w:ascii="Garamond" w:hAnsi="Garamond"/>
          <w:bCs/>
          <w:lang w:val="en-US"/>
        </w:rPr>
        <w:t>s</w:t>
      </w:r>
      <w:r w:rsidRPr="00AB6617">
        <w:rPr>
          <w:rFonts w:ascii="Garamond" w:hAnsi="Garamond"/>
          <w:bCs/>
          <w:lang w:val="en-US"/>
        </w:rPr>
        <w:t>)</w:t>
      </w:r>
    </w:p>
    <w:p w14:paraId="2FA993E0" w14:textId="77777777" w:rsidR="00BA75EB" w:rsidRPr="00AB6617" w:rsidRDefault="00AB6617" w:rsidP="00AB6617">
      <w:pPr>
        <w:numPr>
          <w:ilvl w:val="1"/>
          <w:numId w:val="4"/>
        </w:numPr>
        <w:tabs>
          <w:tab w:val="left" w:pos="284"/>
          <w:tab w:val="left" w:pos="1134"/>
        </w:tabs>
        <w:spacing w:before="120" w:after="120" w:line="240" w:lineRule="auto"/>
        <w:ind w:left="284" w:hanging="142"/>
        <w:jc w:val="both"/>
        <w:rPr>
          <w:rFonts w:ascii="Garamond" w:hAnsi="Garamond"/>
          <w:bCs/>
          <w:lang w:val="en-US"/>
        </w:rPr>
      </w:pPr>
      <w:r w:rsidRPr="00AB6617">
        <w:rPr>
          <w:rFonts w:ascii="Garamond" w:hAnsi="Garamond"/>
          <w:bCs/>
          <w:lang w:val="en-US"/>
        </w:rPr>
        <w:t xml:space="preserve">the singularities, redundancies and synergies </w:t>
      </w:r>
      <w:r w:rsidR="00BA75EB" w:rsidRPr="00AB6617">
        <w:rPr>
          <w:rFonts w:ascii="Garamond" w:hAnsi="Garamond"/>
          <w:bCs/>
          <w:lang w:val="en-US"/>
        </w:rPr>
        <w:t>among</w:t>
      </w:r>
      <w:r w:rsidR="00663A8C" w:rsidRPr="00AB6617">
        <w:rPr>
          <w:rFonts w:ascii="Garamond" w:hAnsi="Garamond"/>
          <w:bCs/>
          <w:lang w:val="en-US"/>
        </w:rPr>
        <w:t xml:space="preserve"> sponsoring, mentoring, leadership, peer networks, virtual </w:t>
      </w:r>
      <w:r w:rsidR="00BA75EB" w:rsidRPr="00AB6617">
        <w:rPr>
          <w:rFonts w:ascii="Garamond" w:hAnsi="Garamond"/>
          <w:bCs/>
          <w:lang w:val="en-US"/>
        </w:rPr>
        <w:t xml:space="preserve">and physical pro-gender diversity </w:t>
      </w:r>
      <w:r w:rsidR="00663A8C" w:rsidRPr="00AB6617">
        <w:rPr>
          <w:rFonts w:ascii="Garamond" w:hAnsi="Garamond"/>
          <w:bCs/>
          <w:lang w:val="en-US"/>
        </w:rPr>
        <w:t>net</w:t>
      </w:r>
      <w:r w:rsidR="00BA75EB" w:rsidRPr="00AB6617">
        <w:rPr>
          <w:rFonts w:ascii="Garamond" w:hAnsi="Garamond"/>
          <w:bCs/>
          <w:lang w:val="en-US"/>
        </w:rPr>
        <w:t>works, and business-oriented and sharing-knowledge-grounded communities of practices…</w:t>
      </w:r>
    </w:p>
    <w:p w14:paraId="179AC58E" w14:textId="77777777" w:rsidR="00663A8C" w:rsidRPr="00AB6617" w:rsidRDefault="00AB6617" w:rsidP="00AB6617">
      <w:pPr>
        <w:numPr>
          <w:ilvl w:val="1"/>
          <w:numId w:val="4"/>
        </w:numPr>
        <w:tabs>
          <w:tab w:val="left" w:pos="284"/>
          <w:tab w:val="left" w:pos="1134"/>
        </w:tabs>
        <w:spacing w:before="120" w:after="120" w:line="240" w:lineRule="auto"/>
        <w:ind w:left="284" w:hanging="142"/>
        <w:jc w:val="both"/>
        <w:rPr>
          <w:rFonts w:ascii="Garamond" w:hAnsi="Garamond"/>
          <w:bCs/>
          <w:lang w:val="en-US"/>
        </w:rPr>
      </w:pPr>
      <w:r w:rsidRPr="00AB6617">
        <w:rPr>
          <w:rFonts w:ascii="Garamond" w:hAnsi="Garamond"/>
          <w:bCs/>
          <w:lang w:val="en-US"/>
        </w:rPr>
        <w:t xml:space="preserve">the </w:t>
      </w:r>
      <w:r w:rsidR="00663A8C" w:rsidRPr="00AB6617">
        <w:rPr>
          <w:rFonts w:ascii="Garamond" w:hAnsi="Garamond"/>
          <w:bCs/>
          <w:lang w:val="en-US"/>
        </w:rPr>
        <w:t>employees’ groups, women’s networks and pro-diversity communities as laboratories of inclusion, organi</w:t>
      </w:r>
      <w:r w:rsidR="00CB7EC6" w:rsidRPr="00AB6617">
        <w:rPr>
          <w:rFonts w:ascii="Garamond" w:hAnsi="Garamond"/>
          <w:bCs/>
          <w:lang w:val="en-US"/>
        </w:rPr>
        <w:t>zational agility and innovation.</w:t>
      </w:r>
    </w:p>
    <w:p w14:paraId="27998F83" w14:textId="77777777" w:rsidR="00631CD6" w:rsidRPr="00000852" w:rsidRDefault="00631CD6" w:rsidP="00EE704E">
      <w:pPr>
        <w:pStyle w:val="EndNoteBibliography"/>
        <w:spacing w:before="120" w:after="0"/>
        <w:rPr>
          <w:rFonts w:ascii="Garamond" w:hAnsi="Garamond"/>
          <w:sz w:val="22"/>
        </w:rPr>
      </w:pPr>
      <w:r w:rsidRPr="003F46C0">
        <w:rPr>
          <w:rFonts w:ascii="Garamond" w:hAnsi="Garamond"/>
          <w:b/>
          <w:sz w:val="22"/>
        </w:rPr>
        <w:t>References</w:t>
      </w:r>
    </w:p>
    <w:p w14:paraId="49234D89" w14:textId="77777777" w:rsidR="004141F1" w:rsidRPr="00AA0EA7" w:rsidRDefault="00631CD6" w:rsidP="00AB6617">
      <w:pPr>
        <w:pStyle w:val="EndNoteBibliography"/>
        <w:spacing w:before="80" w:after="80"/>
        <w:rPr>
          <w:rFonts w:ascii="Garamond" w:hAnsi="Garamond"/>
          <w:sz w:val="20"/>
          <w:szCs w:val="20"/>
          <w:lang w:val="fr-FR"/>
        </w:rPr>
      </w:pPr>
      <w:r w:rsidRPr="00AA0EA7">
        <w:rPr>
          <w:rFonts w:ascii="Garamond" w:hAnsi="Garamond"/>
          <w:sz w:val="20"/>
          <w:szCs w:val="20"/>
        </w:rPr>
        <w:t>Bea</w:t>
      </w:r>
      <w:r w:rsidR="006C55F6" w:rsidRPr="00AA0EA7">
        <w:rPr>
          <w:rFonts w:ascii="Garamond" w:hAnsi="Garamond"/>
          <w:sz w:val="20"/>
          <w:szCs w:val="20"/>
        </w:rPr>
        <w:t>r, S., Rahman, N. and Post, C. (</w:t>
      </w:r>
      <w:r w:rsidRPr="00AA0EA7">
        <w:rPr>
          <w:rFonts w:ascii="Garamond" w:hAnsi="Garamond"/>
          <w:sz w:val="20"/>
          <w:szCs w:val="20"/>
        </w:rPr>
        <w:t>2010</w:t>
      </w:r>
      <w:r w:rsidR="006C55F6" w:rsidRPr="00AA0EA7">
        <w:rPr>
          <w:rFonts w:ascii="Garamond" w:hAnsi="Garamond"/>
          <w:sz w:val="20"/>
          <w:szCs w:val="20"/>
        </w:rPr>
        <w:t>)</w:t>
      </w:r>
      <w:r w:rsidRPr="00AA0EA7">
        <w:rPr>
          <w:rFonts w:ascii="Garamond" w:hAnsi="Garamond"/>
          <w:sz w:val="20"/>
          <w:szCs w:val="20"/>
        </w:rPr>
        <w:t>. The impact of board diversity and gender composition on corporate social responsibility and firm reputat</w:t>
      </w:r>
      <w:r w:rsidR="006C55F6" w:rsidRPr="00AA0EA7">
        <w:rPr>
          <w:rFonts w:ascii="Garamond" w:hAnsi="Garamond"/>
          <w:sz w:val="20"/>
          <w:szCs w:val="20"/>
        </w:rPr>
        <w:t xml:space="preserve">ion. </w:t>
      </w:r>
      <w:r w:rsidR="006C55F6" w:rsidRPr="00AA0EA7">
        <w:rPr>
          <w:rFonts w:ascii="Garamond" w:hAnsi="Garamond"/>
          <w:sz w:val="20"/>
          <w:szCs w:val="20"/>
          <w:lang w:val="fr-FR"/>
        </w:rPr>
        <w:t xml:space="preserve">Journal of Business Ethics, </w:t>
      </w:r>
      <w:r w:rsidRPr="00AA0EA7">
        <w:rPr>
          <w:rFonts w:ascii="Garamond" w:hAnsi="Garamond"/>
          <w:i/>
          <w:sz w:val="20"/>
          <w:szCs w:val="20"/>
          <w:lang w:val="fr-FR"/>
        </w:rPr>
        <w:t>97</w:t>
      </w:r>
      <w:r w:rsidRPr="00AA0EA7">
        <w:rPr>
          <w:rFonts w:ascii="Garamond" w:hAnsi="Garamond"/>
          <w:sz w:val="20"/>
          <w:szCs w:val="20"/>
          <w:lang w:val="fr-FR"/>
        </w:rPr>
        <w:t>, 207-221.</w:t>
      </w:r>
    </w:p>
    <w:p w14:paraId="6A625C68" w14:textId="77777777" w:rsidR="00EE704E" w:rsidRPr="00AA0EA7" w:rsidRDefault="004141F1" w:rsidP="00AB6617">
      <w:pPr>
        <w:pStyle w:val="EndNoteBibliography"/>
        <w:spacing w:before="80" w:after="80"/>
        <w:rPr>
          <w:rFonts w:ascii="Garamond" w:hAnsi="Garamond" w:cs="Calibri"/>
          <w:sz w:val="20"/>
          <w:szCs w:val="20"/>
          <w:lang w:val="fr-FR"/>
        </w:rPr>
      </w:pPr>
      <w:r w:rsidRPr="00AA0EA7">
        <w:rPr>
          <w:rFonts w:ascii="Garamond" w:hAnsi="Garamond" w:cs="Calibri"/>
          <w:sz w:val="20"/>
          <w:szCs w:val="20"/>
          <w:lang w:val="fr-FR"/>
        </w:rPr>
        <w:t>Bruna, M. G. (2016).</w:t>
      </w:r>
      <w:r w:rsidRPr="00AA0EA7">
        <w:rPr>
          <w:rFonts w:ascii="Garamond" w:hAnsi="Garamond" w:cs="Calibri"/>
          <w:b/>
          <w:sz w:val="20"/>
          <w:szCs w:val="20"/>
          <w:lang w:val="fr-FR"/>
        </w:rPr>
        <w:t xml:space="preserve"> </w:t>
      </w:r>
      <w:r w:rsidRPr="00AA0EA7">
        <w:rPr>
          <w:rFonts w:ascii="Garamond" w:hAnsi="Garamond" w:cs="Calibri"/>
          <w:sz w:val="20"/>
          <w:szCs w:val="20"/>
          <w:lang w:val="fr-FR"/>
        </w:rPr>
        <w:t xml:space="preserve">Des acteurs, des règles et des savoirs : régulation sociale et apprentissage collectif dans une politique </w:t>
      </w:r>
      <w:r w:rsidRPr="00AA0EA7">
        <w:rPr>
          <w:rFonts w:ascii="Garamond" w:hAnsi="Garamond" w:cs="Calibri"/>
          <w:i/>
          <w:sz w:val="20"/>
          <w:szCs w:val="20"/>
          <w:lang w:val="fr-FR"/>
        </w:rPr>
        <w:t>diversité</w:t>
      </w:r>
      <w:r w:rsidRPr="00AA0EA7">
        <w:rPr>
          <w:rFonts w:ascii="Garamond" w:hAnsi="Garamond" w:cs="Calibri"/>
          <w:sz w:val="20"/>
          <w:szCs w:val="20"/>
          <w:lang w:val="fr-FR"/>
        </w:rPr>
        <w:t>,</w:t>
      </w:r>
      <w:r w:rsidRPr="00AA0EA7">
        <w:rPr>
          <w:rFonts w:ascii="Garamond" w:hAnsi="Garamond" w:cs="Calibri"/>
          <w:i/>
          <w:sz w:val="20"/>
          <w:szCs w:val="20"/>
          <w:lang w:val="fr-FR"/>
        </w:rPr>
        <w:t xml:space="preserve"> </w:t>
      </w:r>
      <w:r w:rsidRPr="00AA0EA7">
        <w:rPr>
          <w:rFonts w:ascii="Garamond" w:hAnsi="Garamond" w:cs="Calibri"/>
          <w:sz w:val="20"/>
          <w:szCs w:val="20"/>
          <w:lang w:val="fr-FR"/>
        </w:rPr>
        <w:t xml:space="preserve">Management &amp; Avenir, </w:t>
      </w:r>
      <w:r w:rsidRPr="00AA0EA7">
        <w:rPr>
          <w:rFonts w:ascii="Garamond" w:hAnsi="Garamond" w:cs="Calibri"/>
          <w:i/>
          <w:sz w:val="20"/>
          <w:szCs w:val="20"/>
          <w:lang w:val="fr-FR"/>
        </w:rPr>
        <w:t>86</w:t>
      </w:r>
      <w:r w:rsidRPr="00AA0EA7">
        <w:rPr>
          <w:rFonts w:ascii="Garamond" w:hAnsi="Garamond" w:cs="Calibri"/>
          <w:sz w:val="20"/>
          <w:szCs w:val="20"/>
          <w:lang w:val="fr-FR"/>
        </w:rPr>
        <w:t>, 163-192.</w:t>
      </w:r>
    </w:p>
    <w:p w14:paraId="5A7FE13D" w14:textId="77777777" w:rsidR="00EE704E" w:rsidRPr="00AA0EA7" w:rsidRDefault="004141F1" w:rsidP="00AB6617">
      <w:pPr>
        <w:pStyle w:val="EndNoteBibliography"/>
        <w:spacing w:before="80" w:after="80"/>
        <w:rPr>
          <w:rFonts w:ascii="Garamond" w:hAnsi="Garamond" w:cs="Calibri"/>
          <w:sz w:val="20"/>
          <w:szCs w:val="20"/>
          <w:lang w:val="fr-FR"/>
        </w:rPr>
      </w:pPr>
      <w:r w:rsidRPr="00AA0EA7">
        <w:rPr>
          <w:rFonts w:ascii="Garamond" w:hAnsi="Garamond" w:cs="Calibri"/>
          <w:sz w:val="20"/>
          <w:szCs w:val="20"/>
          <w:lang w:val="fr-FR"/>
        </w:rPr>
        <w:t xml:space="preserve">Bruna, M.G. (2013). </w:t>
      </w:r>
      <w:r w:rsidRPr="00AA0EA7">
        <w:rPr>
          <w:rStyle w:val="gsctg"/>
          <w:rFonts w:ascii="Garamond" w:hAnsi="Garamond" w:cs="Calibri"/>
          <w:sz w:val="20"/>
          <w:szCs w:val="20"/>
          <w:lang w:val="fr-FR"/>
        </w:rPr>
        <w:t xml:space="preserve">Du bon usage des réseaux sociaux en entreprise : le cas de figure des cadres-femmes aux Etats-Unis, </w:t>
      </w:r>
      <w:r w:rsidRPr="00AA0EA7">
        <w:rPr>
          <w:rFonts w:ascii="Garamond" w:hAnsi="Garamond" w:cs="Calibri"/>
          <w:sz w:val="20"/>
          <w:szCs w:val="20"/>
          <w:lang w:val="fr-FR"/>
        </w:rPr>
        <w:t xml:space="preserve">Management International/International Management, </w:t>
      </w:r>
      <w:r w:rsidRPr="00AA0EA7">
        <w:rPr>
          <w:rFonts w:ascii="Garamond" w:hAnsi="Garamond" w:cs="Calibri"/>
          <w:i/>
          <w:sz w:val="20"/>
          <w:szCs w:val="20"/>
          <w:lang w:val="fr-FR"/>
        </w:rPr>
        <w:t>17(4)</w:t>
      </w:r>
      <w:r w:rsidRPr="00AA0EA7">
        <w:rPr>
          <w:rFonts w:ascii="Garamond" w:hAnsi="Garamond" w:cs="Calibri"/>
          <w:sz w:val="20"/>
          <w:szCs w:val="20"/>
          <w:lang w:val="fr-FR"/>
        </w:rPr>
        <w:t>, 14-33, 2013.</w:t>
      </w:r>
    </w:p>
    <w:p w14:paraId="76F0CABB" w14:textId="77777777" w:rsidR="00EE704E" w:rsidRPr="00AA0EA7" w:rsidRDefault="004141F1" w:rsidP="00AB6617">
      <w:pPr>
        <w:pStyle w:val="EndNoteBibliography"/>
        <w:spacing w:before="80" w:after="80"/>
        <w:rPr>
          <w:rFonts w:ascii="Garamond" w:hAnsi="Garamond" w:cs="Calibri"/>
          <w:sz w:val="20"/>
          <w:szCs w:val="20"/>
          <w:lang w:val="fr-FR"/>
        </w:rPr>
      </w:pPr>
      <w:r w:rsidRPr="003F6788">
        <w:rPr>
          <w:rFonts w:ascii="Garamond" w:hAnsi="Garamond"/>
          <w:sz w:val="20"/>
          <w:szCs w:val="20"/>
        </w:rPr>
        <w:lastRenderedPageBreak/>
        <w:t>Bruna, M.G. and Chauvet,</w:t>
      </w:r>
      <w:r w:rsidRPr="003F6788">
        <w:rPr>
          <w:rFonts w:ascii="Garamond" w:hAnsi="Garamond"/>
          <w:bCs/>
          <w:iCs/>
          <w:sz w:val="20"/>
          <w:szCs w:val="20"/>
          <w:lang w:eastAsia="fr-FR"/>
        </w:rPr>
        <w:t xml:space="preserve"> </w:t>
      </w:r>
      <w:r w:rsidRPr="003F6788">
        <w:rPr>
          <w:rFonts w:ascii="Garamond" w:hAnsi="Garamond"/>
          <w:sz w:val="20"/>
          <w:szCs w:val="20"/>
        </w:rPr>
        <w:t xml:space="preserve">M. (2014). </w:t>
      </w:r>
      <w:r w:rsidRPr="00AA0EA7">
        <w:rPr>
          <w:rFonts w:ascii="Garamond" w:hAnsi="Garamond"/>
          <w:bCs/>
          <w:iCs/>
          <w:sz w:val="20"/>
          <w:szCs w:val="20"/>
          <w:lang w:val="fr-FR" w:eastAsia="fr-FR"/>
        </w:rPr>
        <w:t xml:space="preserve">Des femmes et des réseaux : </w:t>
      </w:r>
      <w:r w:rsidRPr="00AA0EA7">
        <w:rPr>
          <w:rFonts w:ascii="Garamond" w:hAnsi="Garamond"/>
          <w:bCs/>
          <w:i/>
          <w:iCs/>
          <w:sz w:val="20"/>
          <w:szCs w:val="20"/>
          <w:lang w:val="fr-FR" w:eastAsia="fr-FR"/>
        </w:rPr>
        <w:t>mentoring</w:t>
      </w:r>
      <w:r w:rsidRPr="00AA0EA7">
        <w:rPr>
          <w:rFonts w:ascii="Garamond" w:hAnsi="Garamond"/>
          <w:bCs/>
          <w:iCs/>
          <w:sz w:val="20"/>
          <w:szCs w:val="20"/>
          <w:lang w:val="fr-FR" w:eastAsia="fr-FR"/>
        </w:rPr>
        <w:t xml:space="preserve"> et réseaux affinitaires au service de l’égalité, </w:t>
      </w:r>
      <w:r w:rsidRPr="00AA0EA7">
        <w:rPr>
          <w:rFonts w:ascii="Garamond" w:eastAsia="Times New Roman" w:hAnsi="Garamond"/>
          <w:sz w:val="20"/>
          <w:szCs w:val="20"/>
          <w:lang w:val="fr-FR" w:eastAsia="fr-FR"/>
        </w:rPr>
        <w:t>special issue « </w:t>
      </w:r>
      <w:r w:rsidRPr="00AA0EA7">
        <w:rPr>
          <w:rFonts w:ascii="Garamond" w:eastAsia="Times New Roman" w:hAnsi="Garamond"/>
          <w:i/>
          <w:sz w:val="20"/>
          <w:szCs w:val="20"/>
          <w:lang w:val="fr-FR" w:eastAsia="fr-FR"/>
        </w:rPr>
        <w:t>Peut-on faire l’économie du genre ?</w:t>
      </w:r>
      <w:r w:rsidRPr="00AA0EA7">
        <w:rPr>
          <w:rFonts w:ascii="Garamond" w:eastAsia="Times New Roman" w:hAnsi="Garamond"/>
          <w:sz w:val="20"/>
          <w:szCs w:val="20"/>
          <w:lang w:val="fr-FR" w:eastAsia="fr-FR"/>
        </w:rPr>
        <w:t xml:space="preserve"> », </w:t>
      </w:r>
      <w:r w:rsidRPr="00AA0EA7">
        <w:rPr>
          <w:rFonts w:ascii="Garamond" w:eastAsia="Times New Roman" w:hAnsi="Garamond"/>
          <w:i/>
          <w:sz w:val="20"/>
          <w:szCs w:val="20"/>
          <w:lang w:val="fr-FR" w:eastAsia="fr-FR"/>
        </w:rPr>
        <w:t>Regards croisés sur l’économie</w:t>
      </w:r>
      <w:r w:rsidRPr="00AA0EA7">
        <w:rPr>
          <w:rFonts w:ascii="Garamond" w:eastAsia="Times New Roman" w:hAnsi="Garamond"/>
          <w:sz w:val="20"/>
          <w:szCs w:val="20"/>
          <w:lang w:val="fr-FR" w:eastAsia="fr-FR"/>
        </w:rPr>
        <w:t>, 2014, 165-182.</w:t>
      </w:r>
    </w:p>
    <w:p w14:paraId="0E9E6584" w14:textId="77777777" w:rsidR="00EE704E" w:rsidRPr="003F6788" w:rsidRDefault="004141F1" w:rsidP="00AB6617">
      <w:pPr>
        <w:pStyle w:val="EndNoteBibliography"/>
        <w:spacing w:before="80" w:after="80"/>
        <w:rPr>
          <w:rFonts w:ascii="Garamond" w:hAnsi="Garamond" w:cs="Calibri"/>
          <w:sz w:val="20"/>
          <w:szCs w:val="20"/>
        </w:rPr>
      </w:pPr>
      <w:r w:rsidRPr="00AA0EA7">
        <w:rPr>
          <w:rFonts w:ascii="Garamond" w:hAnsi="Garamond" w:cs="Calibri"/>
          <w:bCs/>
          <w:sz w:val="20"/>
          <w:szCs w:val="20"/>
          <w:lang w:eastAsia="fr-FR"/>
        </w:rPr>
        <w:t>Bruna</w:t>
      </w:r>
      <w:r w:rsidR="00EE704E" w:rsidRPr="00AA0EA7">
        <w:rPr>
          <w:rFonts w:ascii="Garamond" w:hAnsi="Garamond" w:cs="Calibri"/>
          <w:bCs/>
          <w:sz w:val="20"/>
          <w:szCs w:val="20"/>
          <w:lang w:eastAsia="fr-FR"/>
        </w:rPr>
        <w:t>, M.G.</w:t>
      </w:r>
      <w:r w:rsidR="00EE704E" w:rsidRPr="00AA0EA7">
        <w:rPr>
          <w:rFonts w:ascii="Garamond" w:hAnsi="Garamond" w:cs="Calibri"/>
          <w:sz w:val="20"/>
          <w:szCs w:val="20"/>
        </w:rPr>
        <w:t xml:space="preserve"> and </w:t>
      </w:r>
      <w:r w:rsidRPr="00AA0EA7">
        <w:rPr>
          <w:rFonts w:ascii="Garamond" w:hAnsi="Garamond" w:cs="Calibri"/>
          <w:sz w:val="20"/>
          <w:szCs w:val="20"/>
        </w:rPr>
        <w:t>Chanlat</w:t>
      </w:r>
      <w:r w:rsidR="00EE704E" w:rsidRPr="00AA0EA7">
        <w:rPr>
          <w:rFonts w:ascii="Garamond" w:hAnsi="Garamond" w:cs="Calibri"/>
          <w:sz w:val="20"/>
          <w:szCs w:val="20"/>
        </w:rPr>
        <w:t>,</w:t>
      </w:r>
      <w:r w:rsidRPr="00AA0EA7">
        <w:rPr>
          <w:rFonts w:ascii="Garamond" w:hAnsi="Garamond" w:cs="Calibri"/>
          <w:sz w:val="20"/>
          <w:szCs w:val="20"/>
        </w:rPr>
        <w:t xml:space="preserve"> </w:t>
      </w:r>
      <w:r w:rsidR="00EE704E" w:rsidRPr="00AA0EA7">
        <w:rPr>
          <w:rFonts w:ascii="Garamond" w:hAnsi="Garamond" w:cs="Calibri"/>
          <w:sz w:val="20"/>
          <w:szCs w:val="20"/>
        </w:rPr>
        <w:t xml:space="preserve">J.-F. </w:t>
      </w:r>
      <w:r w:rsidRPr="00AA0EA7">
        <w:rPr>
          <w:rFonts w:ascii="Garamond" w:hAnsi="Garamond" w:cs="Calibri"/>
          <w:sz w:val="20"/>
          <w:szCs w:val="20"/>
        </w:rPr>
        <w:t>(2015</w:t>
      </w:r>
      <w:r w:rsidRPr="00AA0EA7">
        <w:rPr>
          <w:rFonts w:ascii="Garamond" w:eastAsia="Times New Roman" w:hAnsi="Garamond" w:cs="Calibri"/>
          <w:bCs/>
          <w:kern w:val="36"/>
          <w:sz w:val="20"/>
          <w:szCs w:val="20"/>
          <w:lang w:eastAsia="fr-FR"/>
        </w:rPr>
        <w:t>). Conducting a Diversity Policy as an Organizational Change Process: A Theoretical Model going from Organizational Legitimation to Institutionalization Dynamics. EURAM Conference 2015, Varsovie, 17-20 June 2015, 30 p.</w:t>
      </w:r>
    </w:p>
    <w:p w14:paraId="6DA93CE9" w14:textId="77777777" w:rsidR="00EE704E" w:rsidRPr="003F6788" w:rsidRDefault="00EE704E" w:rsidP="00AB6617">
      <w:pPr>
        <w:pStyle w:val="EndNoteBibliography"/>
        <w:spacing w:before="80" w:after="80"/>
        <w:rPr>
          <w:rFonts w:ascii="Garamond" w:hAnsi="Garamond" w:cs="Calibri"/>
          <w:sz w:val="20"/>
          <w:szCs w:val="20"/>
        </w:rPr>
      </w:pPr>
      <w:r w:rsidRPr="00AA0EA7">
        <w:rPr>
          <w:rFonts w:ascii="Garamond" w:hAnsi="Garamond" w:cs="Arial"/>
          <w:sz w:val="20"/>
          <w:szCs w:val="20"/>
          <w:shd w:val="clear" w:color="auto" w:fill="FFFFFF"/>
        </w:rPr>
        <w:t>Bell, M. P., Özbilgin, M. F., Beauregard, T. A., &amp; Sürgevil, O. (2011). Voice, silence, and diversity in 21st century organizations: Strategies for inclusion of gay, lesbian, bisexual, and transgender employees.</w:t>
      </w:r>
      <w:r w:rsidRPr="00AA0EA7">
        <w:rPr>
          <w:rStyle w:val="apple-converted-space"/>
          <w:rFonts w:ascii="Garamond" w:hAnsi="Garamond" w:cs="Arial"/>
          <w:sz w:val="20"/>
          <w:szCs w:val="20"/>
          <w:shd w:val="clear" w:color="auto" w:fill="FFFFFF"/>
        </w:rPr>
        <w:t> </w:t>
      </w:r>
      <w:r w:rsidRPr="00AA0EA7">
        <w:rPr>
          <w:rFonts w:ascii="Garamond" w:hAnsi="Garamond" w:cs="Arial"/>
          <w:i/>
          <w:iCs/>
          <w:sz w:val="20"/>
          <w:szCs w:val="20"/>
          <w:shd w:val="clear" w:color="auto" w:fill="FFFFFF"/>
        </w:rPr>
        <w:t>Human Resource Management</w:t>
      </w:r>
      <w:r w:rsidRPr="00AA0EA7">
        <w:rPr>
          <w:rFonts w:ascii="Garamond" w:hAnsi="Garamond" w:cs="Arial"/>
          <w:sz w:val="20"/>
          <w:szCs w:val="20"/>
          <w:shd w:val="clear" w:color="auto" w:fill="FFFFFF"/>
        </w:rPr>
        <w:t>,</w:t>
      </w:r>
      <w:r w:rsidRPr="00AA0EA7">
        <w:rPr>
          <w:rStyle w:val="apple-converted-space"/>
          <w:rFonts w:ascii="Garamond" w:hAnsi="Garamond" w:cs="Arial"/>
          <w:sz w:val="20"/>
          <w:szCs w:val="20"/>
          <w:shd w:val="clear" w:color="auto" w:fill="FFFFFF"/>
        </w:rPr>
        <w:t xml:space="preserve"> </w:t>
      </w:r>
      <w:r w:rsidRPr="00AA0EA7">
        <w:rPr>
          <w:rFonts w:ascii="Garamond" w:hAnsi="Garamond" w:cs="Arial"/>
          <w:i/>
          <w:iCs/>
          <w:sz w:val="20"/>
          <w:szCs w:val="20"/>
          <w:shd w:val="clear" w:color="auto" w:fill="FFFFFF"/>
        </w:rPr>
        <w:t>50</w:t>
      </w:r>
      <w:r w:rsidRPr="00AA0EA7">
        <w:rPr>
          <w:rFonts w:ascii="Garamond" w:hAnsi="Garamond" w:cs="Arial"/>
          <w:sz w:val="20"/>
          <w:szCs w:val="20"/>
          <w:shd w:val="clear" w:color="auto" w:fill="FFFFFF"/>
        </w:rPr>
        <w:t>(1), 131-146.</w:t>
      </w:r>
    </w:p>
    <w:p w14:paraId="1092AD2F" w14:textId="77777777" w:rsidR="00EE704E" w:rsidRPr="00AA0EA7" w:rsidRDefault="00EE704E" w:rsidP="00AB6617">
      <w:pPr>
        <w:pStyle w:val="EndNoteBibliography"/>
        <w:spacing w:before="80" w:after="80"/>
        <w:rPr>
          <w:rFonts w:ascii="Garamond" w:hAnsi="Garamond" w:cs="Calibri"/>
          <w:sz w:val="20"/>
          <w:szCs w:val="20"/>
        </w:rPr>
      </w:pPr>
      <w:r w:rsidRPr="00AA0EA7">
        <w:rPr>
          <w:rFonts w:ascii="Garamond" w:hAnsi="Garamond" w:cs="Arial"/>
          <w:sz w:val="20"/>
          <w:szCs w:val="20"/>
          <w:shd w:val="clear" w:color="auto" w:fill="FFFFFF"/>
        </w:rPr>
        <w:t>Bierema, L. L. (2005). Women's networks: a career development intervention or impediment?.</w:t>
      </w:r>
      <w:r w:rsidRPr="00AA0EA7">
        <w:rPr>
          <w:rStyle w:val="apple-converted-space"/>
          <w:rFonts w:ascii="Garamond" w:hAnsi="Garamond" w:cs="Arial"/>
          <w:sz w:val="20"/>
          <w:szCs w:val="20"/>
          <w:shd w:val="clear" w:color="auto" w:fill="FFFFFF"/>
        </w:rPr>
        <w:t> </w:t>
      </w:r>
      <w:r w:rsidRPr="00AA0EA7">
        <w:rPr>
          <w:rFonts w:ascii="Garamond" w:hAnsi="Garamond" w:cs="Arial"/>
          <w:i/>
          <w:iCs/>
          <w:sz w:val="20"/>
          <w:szCs w:val="20"/>
          <w:shd w:val="clear" w:color="auto" w:fill="FFFFFF"/>
        </w:rPr>
        <w:t>Human Resource Development International</w:t>
      </w:r>
      <w:r w:rsidRPr="00AA0EA7">
        <w:rPr>
          <w:rFonts w:ascii="Garamond" w:hAnsi="Garamond" w:cs="Arial"/>
          <w:sz w:val="20"/>
          <w:szCs w:val="20"/>
          <w:shd w:val="clear" w:color="auto" w:fill="FFFFFF"/>
        </w:rPr>
        <w:t>,</w:t>
      </w:r>
      <w:r w:rsidRPr="00AA0EA7">
        <w:rPr>
          <w:rStyle w:val="apple-converted-space"/>
          <w:rFonts w:ascii="Garamond" w:hAnsi="Garamond" w:cs="Arial"/>
          <w:sz w:val="20"/>
          <w:szCs w:val="20"/>
          <w:shd w:val="clear" w:color="auto" w:fill="FFFFFF"/>
        </w:rPr>
        <w:t> </w:t>
      </w:r>
      <w:r w:rsidRPr="00AA0EA7">
        <w:rPr>
          <w:rFonts w:ascii="Garamond" w:hAnsi="Garamond" w:cs="Arial"/>
          <w:i/>
          <w:iCs/>
          <w:sz w:val="20"/>
          <w:szCs w:val="20"/>
          <w:shd w:val="clear" w:color="auto" w:fill="FFFFFF"/>
        </w:rPr>
        <w:t>8</w:t>
      </w:r>
      <w:r w:rsidRPr="00AA0EA7">
        <w:rPr>
          <w:rFonts w:ascii="Garamond" w:hAnsi="Garamond" w:cs="Arial"/>
          <w:sz w:val="20"/>
          <w:szCs w:val="20"/>
          <w:shd w:val="clear" w:color="auto" w:fill="FFFFFF"/>
        </w:rPr>
        <w:t>(2), 207-224.</w:t>
      </w:r>
    </w:p>
    <w:p w14:paraId="660AA556" w14:textId="77777777" w:rsidR="00631CD6" w:rsidRPr="00AA0EA7" w:rsidRDefault="00631CD6" w:rsidP="00AB6617">
      <w:pPr>
        <w:pStyle w:val="EndNoteBibliography"/>
        <w:spacing w:before="80" w:after="80"/>
        <w:rPr>
          <w:rFonts w:ascii="Garamond" w:hAnsi="Garamond"/>
          <w:sz w:val="20"/>
          <w:szCs w:val="20"/>
        </w:rPr>
      </w:pPr>
      <w:r w:rsidRPr="00AA0EA7">
        <w:rPr>
          <w:rFonts w:ascii="Garamond" w:hAnsi="Garamond"/>
          <w:sz w:val="20"/>
          <w:szCs w:val="20"/>
        </w:rPr>
        <w:t>Ca</w:t>
      </w:r>
      <w:r w:rsidR="006C55F6" w:rsidRPr="00AA0EA7">
        <w:rPr>
          <w:rFonts w:ascii="Garamond" w:hAnsi="Garamond"/>
          <w:sz w:val="20"/>
          <w:szCs w:val="20"/>
        </w:rPr>
        <w:t>mpbell, K. and Mínguez-Vera, A. (</w:t>
      </w:r>
      <w:r w:rsidRPr="00AA0EA7">
        <w:rPr>
          <w:rFonts w:ascii="Garamond" w:hAnsi="Garamond"/>
          <w:sz w:val="20"/>
          <w:szCs w:val="20"/>
        </w:rPr>
        <w:t>2008</w:t>
      </w:r>
      <w:r w:rsidR="006C55F6" w:rsidRPr="00AA0EA7">
        <w:rPr>
          <w:rFonts w:ascii="Garamond" w:hAnsi="Garamond"/>
          <w:sz w:val="20"/>
          <w:szCs w:val="20"/>
        </w:rPr>
        <w:t>)</w:t>
      </w:r>
      <w:r w:rsidRPr="00AA0EA7">
        <w:rPr>
          <w:rFonts w:ascii="Garamond" w:hAnsi="Garamond"/>
          <w:sz w:val="20"/>
          <w:szCs w:val="20"/>
        </w:rPr>
        <w:t>. Gender diversity in the boardroom and firm financial performa</w:t>
      </w:r>
      <w:r w:rsidR="006C55F6" w:rsidRPr="00AA0EA7">
        <w:rPr>
          <w:rFonts w:ascii="Garamond" w:hAnsi="Garamond"/>
          <w:sz w:val="20"/>
          <w:szCs w:val="20"/>
        </w:rPr>
        <w:t xml:space="preserve">nce. Journal of Business Ethics, </w:t>
      </w:r>
      <w:r w:rsidRPr="00AA0EA7">
        <w:rPr>
          <w:rFonts w:ascii="Garamond" w:hAnsi="Garamond"/>
          <w:i/>
          <w:sz w:val="20"/>
          <w:szCs w:val="20"/>
        </w:rPr>
        <w:t>83</w:t>
      </w:r>
      <w:r w:rsidRPr="00AA0EA7">
        <w:rPr>
          <w:rFonts w:ascii="Garamond" w:hAnsi="Garamond"/>
          <w:sz w:val="20"/>
          <w:szCs w:val="20"/>
        </w:rPr>
        <w:t>, 435-451.</w:t>
      </w:r>
    </w:p>
    <w:p w14:paraId="4175B619" w14:textId="77777777" w:rsidR="00631CD6" w:rsidRPr="00AA0EA7" w:rsidRDefault="00631CD6" w:rsidP="00AB6617">
      <w:pPr>
        <w:pStyle w:val="EndNoteBibliography"/>
        <w:spacing w:before="80" w:after="80"/>
        <w:rPr>
          <w:rFonts w:ascii="Garamond" w:hAnsi="Garamond"/>
          <w:sz w:val="20"/>
          <w:szCs w:val="20"/>
        </w:rPr>
      </w:pPr>
      <w:r w:rsidRPr="00AA0EA7">
        <w:rPr>
          <w:rFonts w:ascii="Garamond" w:hAnsi="Garamond"/>
          <w:sz w:val="20"/>
          <w:szCs w:val="20"/>
        </w:rPr>
        <w:t>Daily, C. M., Certo, S.</w:t>
      </w:r>
      <w:r w:rsidR="006C55F6" w:rsidRPr="00AA0EA7">
        <w:rPr>
          <w:rFonts w:ascii="Garamond" w:hAnsi="Garamond"/>
          <w:sz w:val="20"/>
          <w:szCs w:val="20"/>
        </w:rPr>
        <w:t xml:space="preserve"> T. and Dalton, D. R. (</w:t>
      </w:r>
      <w:r w:rsidRPr="00AA0EA7">
        <w:rPr>
          <w:rFonts w:ascii="Garamond" w:hAnsi="Garamond"/>
          <w:sz w:val="20"/>
          <w:szCs w:val="20"/>
        </w:rPr>
        <w:t>1999</w:t>
      </w:r>
      <w:r w:rsidR="006C55F6" w:rsidRPr="00AA0EA7">
        <w:rPr>
          <w:rFonts w:ascii="Garamond" w:hAnsi="Garamond"/>
          <w:sz w:val="20"/>
          <w:szCs w:val="20"/>
        </w:rPr>
        <w:t>)</w:t>
      </w:r>
      <w:r w:rsidRPr="00AA0EA7">
        <w:rPr>
          <w:rFonts w:ascii="Garamond" w:hAnsi="Garamond"/>
          <w:sz w:val="20"/>
          <w:szCs w:val="20"/>
        </w:rPr>
        <w:t>. A decade of corporate women: Some progress in the boardroom, none in the executive suite. Strategic Management Journal</w:t>
      </w:r>
      <w:r w:rsidR="006C55F6" w:rsidRPr="00AA0EA7">
        <w:rPr>
          <w:rFonts w:ascii="Garamond" w:hAnsi="Garamond"/>
          <w:sz w:val="20"/>
          <w:szCs w:val="20"/>
        </w:rPr>
        <w:t>,</w:t>
      </w:r>
      <w:r w:rsidRPr="00AA0EA7">
        <w:rPr>
          <w:rFonts w:ascii="Garamond" w:hAnsi="Garamond"/>
          <w:sz w:val="20"/>
          <w:szCs w:val="20"/>
        </w:rPr>
        <w:t xml:space="preserve"> </w:t>
      </w:r>
      <w:r w:rsidRPr="00AA0EA7">
        <w:rPr>
          <w:rFonts w:ascii="Garamond" w:hAnsi="Garamond"/>
          <w:i/>
          <w:sz w:val="20"/>
          <w:szCs w:val="20"/>
        </w:rPr>
        <w:t>20</w:t>
      </w:r>
      <w:r w:rsidRPr="00AA0EA7">
        <w:rPr>
          <w:rFonts w:ascii="Garamond" w:hAnsi="Garamond"/>
          <w:sz w:val="20"/>
          <w:szCs w:val="20"/>
        </w:rPr>
        <w:t>, 93-99.</w:t>
      </w:r>
    </w:p>
    <w:p w14:paraId="5BD7BF76" w14:textId="77777777" w:rsidR="00EE704E" w:rsidRPr="00AA0EA7" w:rsidRDefault="00EE704E"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cs="Arial"/>
          <w:color w:val="222222"/>
          <w:sz w:val="20"/>
          <w:szCs w:val="20"/>
          <w:shd w:val="clear" w:color="auto" w:fill="FFFFFF"/>
        </w:rPr>
        <w:t>Githens, R. P. (2009). Capitalism, identity politics, and queerness converge: LGBT employee resource groups.</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New Horizons in Adult Education &amp; Human Resource Development</w:t>
      </w:r>
      <w:r w:rsidRPr="00AA0EA7">
        <w:rPr>
          <w:rFonts w:ascii="Garamond" w:hAnsi="Garamond" w:cs="Arial"/>
          <w:color w:val="222222"/>
          <w:sz w:val="20"/>
          <w:szCs w:val="20"/>
          <w:shd w:val="clear" w:color="auto" w:fill="FFFFFF"/>
        </w:rPr>
        <w:t>,</w:t>
      </w:r>
      <w:r w:rsidR="00AA0EA7" w:rsidRPr="00AA0EA7">
        <w:rPr>
          <w:rStyle w:val="apple-converted-space"/>
          <w:rFonts w:ascii="Garamond" w:hAnsi="Garamond" w:cs="Arial"/>
          <w:color w:val="222222"/>
          <w:sz w:val="20"/>
          <w:szCs w:val="20"/>
          <w:shd w:val="clear" w:color="auto" w:fill="FFFFFF"/>
        </w:rPr>
        <w:t xml:space="preserve"> </w:t>
      </w:r>
      <w:r w:rsidRPr="00AA0EA7">
        <w:rPr>
          <w:rFonts w:ascii="Garamond" w:hAnsi="Garamond" w:cs="Arial"/>
          <w:i/>
          <w:iCs/>
          <w:color w:val="222222"/>
          <w:sz w:val="20"/>
          <w:szCs w:val="20"/>
          <w:shd w:val="clear" w:color="auto" w:fill="FFFFFF"/>
        </w:rPr>
        <w:t>23</w:t>
      </w:r>
      <w:r w:rsidRPr="00AA0EA7">
        <w:rPr>
          <w:rFonts w:ascii="Garamond" w:hAnsi="Garamond" w:cs="Arial"/>
          <w:color w:val="222222"/>
          <w:sz w:val="20"/>
          <w:szCs w:val="20"/>
          <w:shd w:val="clear" w:color="auto" w:fill="FFFFFF"/>
        </w:rPr>
        <w:t>(3), 18.</w:t>
      </w:r>
    </w:p>
    <w:p w14:paraId="7ED8FEA9" w14:textId="77777777" w:rsidR="00EE704E" w:rsidRPr="00AA0EA7" w:rsidRDefault="00EE704E"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cs="Arial"/>
          <w:color w:val="222222"/>
          <w:sz w:val="20"/>
          <w:szCs w:val="20"/>
          <w:shd w:val="clear" w:color="auto" w:fill="FFFFFF"/>
        </w:rPr>
        <w:t>Githens, R. P., &amp; Aragon, S. R. (2009). LGBT employee groups: Goals and organizational structures.</w:t>
      </w:r>
      <w:r w:rsidRPr="00AA0EA7">
        <w:rPr>
          <w:rFonts w:ascii="Garamond" w:hAnsi="Garamond" w:cs="Arial"/>
          <w:i/>
          <w:iCs/>
          <w:color w:val="222222"/>
          <w:sz w:val="20"/>
          <w:szCs w:val="20"/>
          <w:shd w:val="clear" w:color="auto" w:fill="FFFFFF"/>
        </w:rPr>
        <w:t>Advances in Developing Human Resources</w:t>
      </w:r>
      <w:r w:rsidRPr="00AA0EA7">
        <w:rPr>
          <w:rFonts w:ascii="Garamond" w:hAnsi="Garamond" w:cs="Arial"/>
          <w:color w:val="222222"/>
          <w:sz w:val="20"/>
          <w:szCs w:val="20"/>
          <w:shd w:val="clear" w:color="auto" w:fill="FFFFFF"/>
        </w:rPr>
        <w:t>,</w:t>
      </w:r>
      <w:r w:rsidR="00AA0EA7" w:rsidRPr="00AA0EA7">
        <w:rPr>
          <w:rStyle w:val="apple-converted-space"/>
          <w:rFonts w:ascii="Garamond" w:hAnsi="Garamond" w:cs="Arial"/>
          <w:color w:val="222222"/>
          <w:sz w:val="20"/>
          <w:szCs w:val="20"/>
          <w:shd w:val="clear" w:color="auto" w:fill="FFFFFF"/>
        </w:rPr>
        <w:t xml:space="preserve"> </w:t>
      </w:r>
      <w:r w:rsidRPr="00AA0EA7">
        <w:rPr>
          <w:rFonts w:ascii="Garamond" w:hAnsi="Garamond" w:cs="Arial"/>
          <w:i/>
          <w:iCs/>
          <w:color w:val="222222"/>
          <w:sz w:val="20"/>
          <w:szCs w:val="20"/>
          <w:shd w:val="clear" w:color="auto" w:fill="FFFFFF"/>
        </w:rPr>
        <w:t>11</w:t>
      </w:r>
      <w:r w:rsidRPr="00AA0EA7">
        <w:rPr>
          <w:rFonts w:ascii="Garamond" w:hAnsi="Garamond" w:cs="Arial"/>
          <w:color w:val="222222"/>
          <w:sz w:val="20"/>
          <w:szCs w:val="20"/>
          <w:shd w:val="clear" w:color="auto" w:fill="FFFFFF"/>
        </w:rPr>
        <w:t>(1), 121-135.</w:t>
      </w:r>
    </w:p>
    <w:p w14:paraId="65AE8FB4" w14:textId="77777777" w:rsidR="00EE704E" w:rsidRPr="00AA0EA7" w:rsidRDefault="004141F1" w:rsidP="00AB6617">
      <w:pPr>
        <w:pStyle w:val="EndNoteBibliography"/>
        <w:spacing w:before="80" w:after="80"/>
        <w:rPr>
          <w:rFonts w:ascii="Garamond" w:hAnsi="Garamond"/>
          <w:sz w:val="20"/>
          <w:szCs w:val="20"/>
        </w:rPr>
      </w:pPr>
      <w:r w:rsidRPr="00AA0EA7">
        <w:rPr>
          <w:rFonts w:ascii="Garamond" w:hAnsi="Garamond"/>
          <w:sz w:val="20"/>
          <w:szCs w:val="20"/>
        </w:rPr>
        <w:t>Hillman, A. J. (</w:t>
      </w:r>
      <w:r w:rsidR="00631CD6" w:rsidRPr="00AA0EA7">
        <w:rPr>
          <w:rFonts w:ascii="Garamond" w:hAnsi="Garamond"/>
          <w:sz w:val="20"/>
          <w:szCs w:val="20"/>
        </w:rPr>
        <w:t>2015</w:t>
      </w:r>
      <w:r w:rsidRPr="00AA0EA7">
        <w:rPr>
          <w:rFonts w:ascii="Garamond" w:hAnsi="Garamond"/>
          <w:sz w:val="20"/>
          <w:szCs w:val="20"/>
        </w:rPr>
        <w:t>)</w:t>
      </w:r>
      <w:r w:rsidR="00631CD6" w:rsidRPr="00AA0EA7">
        <w:rPr>
          <w:rFonts w:ascii="Garamond" w:hAnsi="Garamond"/>
          <w:sz w:val="20"/>
          <w:szCs w:val="20"/>
        </w:rPr>
        <w:t>. Board diversity: Beginning to unpeel the onion. Corporate Governance: An International Review</w:t>
      </w:r>
      <w:r w:rsidR="006C55F6" w:rsidRPr="00AA0EA7">
        <w:rPr>
          <w:rFonts w:ascii="Garamond" w:hAnsi="Garamond"/>
          <w:sz w:val="20"/>
          <w:szCs w:val="20"/>
        </w:rPr>
        <w:t>,</w:t>
      </w:r>
      <w:r w:rsidR="00631CD6" w:rsidRPr="00AA0EA7">
        <w:rPr>
          <w:rFonts w:ascii="Garamond" w:hAnsi="Garamond"/>
          <w:i/>
          <w:sz w:val="20"/>
          <w:szCs w:val="20"/>
        </w:rPr>
        <w:t xml:space="preserve"> 23</w:t>
      </w:r>
      <w:r w:rsidR="00EE704E" w:rsidRPr="00AA0EA7">
        <w:rPr>
          <w:rFonts w:ascii="Garamond" w:hAnsi="Garamond"/>
          <w:sz w:val="20"/>
          <w:szCs w:val="20"/>
        </w:rPr>
        <w:t>, 104-107.</w:t>
      </w:r>
    </w:p>
    <w:p w14:paraId="74CBE566" w14:textId="77777777" w:rsidR="00AA0EA7" w:rsidRPr="00AA0EA7" w:rsidRDefault="00AA0EA7"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cs="Arial"/>
          <w:color w:val="222222"/>
          <w:sz w:val="20"/>
          <w:szCs w:val="20"/>
          <w:shd w:val="clear" w:color="auto" w:fill="FFFFFF"/>
        </w:rPr>
        <w:t>Ibarra, H. (1993). Personal networks of women and minorities in management: A conceptual framework.</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Academy of management Review</w:t>
      </w:r>
      <w:r w:rsidRPr="00AA0EA7">
        <w:rPr>
          <w:rFonts w:ascii="Garamond" w:hAnsi="Garamond" w:cs="Arial"/>
          <w:color w:val="222222"/>
          <w:sz w:val="20"/>
          <w:szCs w:val="20"/>
          <w:shd w:val="clear" w:color="auto" w:fill="FFFFFF"/>
        </w:rPr>
        <w:t>,</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18</w:t>
      </w:r>
      <w:r w:rsidRPr="00AA0EA7">
        <w:rPr>
          <w:rFonts w:ascii="Garamond" w:hAnsi="Garamond" w:cs="Arial"/>
          <w:color w:val="222222"/>
          <w:sz w:val="20"/>
          <w:szCs w:val="20"/>
          <w:shd w:val="clear" w:color="auto" w:fill="FFFFFF"/>
        </w:rPr>
        <w:t>(1), 56-87.</w:t>
      </w:r>
    </w:p>
    <w:p w14:paraId="4D2C614E" w14:textId="77777777" w:rsidR="00AA0EA7" w:rsidRPr="00AA0EA7" w:rsidRDefault="00AA0EA7"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cs="Arial"/>
          <w:color w:val="222222"/>
          <w:sz w:val="20"/>
          <w:szCs w:val="20"/>
          <w:shd w:val="clear" w:color="auto" w:fill="FFFFFF"/>
        </w:rPr>
        <w:t>Kravitz, D. A. (2008). The diversity–validity dilemma: Beyond selection-the role of affirmative action.</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Personnel Psychology</w:t>
      </w:r>
      <w:r w:rsidRPr="00AA0EA7">
        <w:rPr>
          <w:rFonts w:ascii="Garamond" w:hAnsi="Garamond" w:cs="Arial"/>
          <w:color w:val="222222"/>
          <w:sz w:val="20"/>
          <w:szCs w:val="20"/>
          <w:shd w:val="clear" w:color="auto" w:fill="FFFFFF"/>
        </w:rPr>
        <w:t>,</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61</w:t>
      </w:r>
      <w:r w:rsidRPr="00AA0EA7">
        <w:rPr>
          <w:rFonts w:ascii="Garamond" w:hAnsi="Garamond" w:cs="Arial"/>
          <w:color w:val="222222"/>
          <w:sz w:val="20"/>
          <w:szCs w:val="20"/>
          <w:shd w:val="clear" w:color="auto" w:fill="FFFFFF"/>
        </w:rPr>
        <w:t>(1), 173-193.</w:t>
      </w:r>
    </w:p>
    <w:p w14:paraId="3A9DD2DD" w14:textId="77777777" w:rsidR="00AA0EA7" w:rsidRPr="00AA0EA7" w:rsidRDefault="00AA0EA7"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cs="Arial"/>
          <w:color w:val="222222"/>
          <w:sz w:val="20"/>
          <w:szCs w:val="20"/>
          <w:shd w:val="clear" w:color="auto" w:fill="FFFFFF"/>
        </w:rPr>
        <w:t>Lieber, L. D. (2012). Considerations for attracting and retaining a qualified, diverse workforce.</w:t>
      </w:r>
      <w:r w:rsidRPr="00AA0EA7">
        <w:rPr>
          <w:rFonts w:ascii="Garamond" w:hAnsi="Garamond" w:cs="Arial"/>
          <w:i/>
          <w:iCs/>
          <w:color w:val="222222"/>
          <w:sz w:val="20"/>
          <w:szCs w:val="20"/>
          <w:shd w:val="clear" w:color="auto" w:fill="FFFFFF"/>
        </w:rPr>
        <w:t>Employment Relations Today</w:t>
      </w:r>
      <w:r w:rsidRPr="00AA0EA7">
        <w:rPr>
          <w:rFonts w:ascii="Garamond" w:hAnsi="Garamond" w:cs="Arial"/>
          <w:color w:val="222222"/>
          <w:sz w:val="20"/>
          <w:szCs w:val="20"/>
          <w:shd w:val="clear" w:color="auto" w:fill="FFFFFF"/>
        </w:rPr>
        <w:t>,</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38</w:t>
      </w:r>
      <w:r w:rsidRPr="00AA0EA7">
        <w:rPr>
          <w:rFonts w:ascii="Garamond" w:hAnsi="Garamond" w:cs="Arial"/>
          <w:color w:val="222222"/>
          <w:sz w:val="20"/>
          <w:szCs w:val="20"/>
          <w:shd w:val="clear" w:color="auto" w:fill="FFFFFF"/>
        </w:rPr>
        <w:t>(4), 85-92.</w:t>
      </w:r>
    </w:p>
    <w:p w14:paraId="53AF46D8" w14:textId="77777777" w:rsidR="00AA0EA7" w:rsidRPr="00AA0EA7" w:rsidRDefault="00AA0EA7" w:rsidP="00AB6617">
      <w:pPr>
        <w:pStyle w:val="EndNoteBibliography"/>
        <w:spacing w:before="80" w:after="80"/>
        <w:rPr>
          <w:rStyle w:val="apple-style-span"/>
          <w:rFonts w:ascii="Garamond" w:hAnsi="Garamond"/>
          <w:sz w:val="20"/>
          <w:szCs w:val="20"/>
        </w:rPr>
      </w:pPr>
      <w:r w:rsidRPr="00AA0EA7">
        <w:rPr>
          <w:rFonts w:ascii="Garamond" w:hAnsi="Garamond"/>
          <w:sz w:val="20"/>
          <w:szCs w:val="20"/>
        </w:rPr>
        <w:t>Özbilgin, M. and Tatli, A. (</w:t>
      </w:r>
      <w:r w:rsidRPr="00AA0EA7">
        <w:rPr>
          <w:rStyle w:val="apple-style-span"/>
          <w:rFonts w:ascii="Garamond" w:hAnsi="Garamond"/>
          <w:sz w:val="20"/>
          <w:szCs w:val="20"/>
        </w:rPr>
        <w:t>2008). Global Diversity Management: An Evidence Based Approach, London/New York: Palgrave.</w:t>
      </w:r>
    </w:p>
    <w:p w14:paraId="063DAF27" w14:textId="77777777" w:rsidR="00AA0EA7" w:rsidRPr="00AA0EA7" w:rsidRDefault="00AA0EA7" w:rsidP="00AB6617">
      <w:pPr>
        <w:pStyle w:val="EndNoteBibliography"/>
        <w:spacing w:before="80" w:after="80"/>
        <w:rPr>
          <w:rStyle w:val="slug-pub-date"/>
          <w:rFonts w:ascii="Garamond" w:hAnsi="Garamond" w:cs="Arial"/>
          <w:color w:val="222222"/>
          <w:sz w:val="20"/>
          <w:szCs w:val="20"/>
          <w:shd w:val="clear" w:color="auto" w:fill="FFFFFF"/>
        </w:rPr>
      </w:pPr>
      <w:r w:rsidRPr="00AA0EA7">
        <w:rPr>
          <w:rStyle w:val="apple-style-span"/>
          <w:rFonts w:ascii="Garamond" w:hAnsi="Garamond"/>
          <w:sz w:val="20"/>
          <w:szCs w:val="20"/>
        </w:rPr>
        <w:t xml:space="preserve">Özbilgin, </w:t>
      </w:r>
      <w:r w:rsidRPr="00AA0EA7">
        <w:rPr>
          <w:rFonts w:ascii="Garamond" w:hAnsi="Garamond"/>
          <w:sz w:val="20"/>
          <w:szCs w:val="20"/>
        </w:rPr>
        <w:t xml:space="preserve">M. et </w:t>
      </w:r>
      <w:r w:rsidRPr="00AA0EA7">
        <w:rPr>
          <w:rStyle w:val="apple-style-span"/>
          <w:rFonts w:ascii="Garamond" w:hAnsi="Garamond"/>
          <w:sz w:val="20"/>
          <w:szCs w:val="20"/>
        </w:rPr>
        <w:t xml:space="preserve">Tatli, </w:t>
      </w:r>
      <w:r w:rsidRPr="00AA0EA7">
        <w:rPr>
          <w:rFonts w:ascii="Garamond" w:hAnsi="Garamond"/>
          <w:bCs/>
          <w:sz w:val="20"/>
          <w:szCs w:val="20"/>
        </w:rPr>
        <w:t>A.</w:t>
      </w:r>
      <w:r w:rsidRPr="00AA0EA7">
        <w:rPr>
          <w:rStyle w:val="apple-style-span"/>
          <w:rFonts w:ascii="Garamond" w:hAnsi="Garamond"/>
          <w:sz w:val="20"/>
          <w:szCs w:val="20"/>
        </w:rPr>
        <w:t xml:space="preserve"> (2011), M</w:t>
      </w:r>
      <w:r w:rsidRPr="00AA0EA7">
        <w:rPr>
          <w:rFonts w:ascii="Garamond" w:hAnsi="Garamond"/>
          <w:sz w:val="20"/>
          <w:szCs w:val="20"/>
        </w:rPr>
        <w:t xml:space="preserve">apping out the field of equality and diversity: Rise of individualism and voluntarism, </w:t>
      </w:r>
      <w:r w:rsidRPr="00AA0EA7">
        <w:rPr>
          <w:rFonts w:ascii="Garamond" w:hAnsi="Garamond"/>
          <w:i/>
          <w:sz w:val="20"/>
          <w:szCs w:val="20"/>
        </w:rPr>
        <w:t xml:space="preserve">Human </w:t>
      </w:r>
      <w:r w:rsidRPr="00AA0EA7">
        <w:rPr>
          <w:rStyle w:val="HTMLCite"/>
          <w:rFonts w:ascii="Garamond" w:hAnsi="Garamond"/>
          <w:sz w:val="20"/>
          <w:szCs w:val="20"/>
          <w:bdr w:val="none" w:sz="0" w:space="0" w:color="auto" w:frame="1"/>
        </w:rPr>
        <w:t>Relations</w:t>
      </w:r>
      <w:r w:rsidRPr="00AA0EA7">
        <w:rPr>
          <w:rStyle w:val="apple-converted-space"/>
          <w:rFonts w:ascii="Garamond" w:hAnsi="Garamond"/>
          <w:bCs/>
          <w:sz w:val="20"/>
          <w:szCs w:val="20"/>
          <w:bdr w:val="none" w:sz="0" w:space="0" w:color="auto" w:frame="1"/>
        </w:rPr>
        <w:t xml:space="preserve">, </w:t>
      </w:r>
      <w:r w:rsidRPr="00AA0EA7">
        <w:rPr>
          <w:rStyle w:val="slug-vol"/>
          <w:rFonts w:ascii="Garamond" w:hAnsi="Garamond"/>
          <w:i/>
          <w:sz w:val="20"/>
          <w:szCs w:val="20"/>
          <w:bdr w:val="none" w:sz="0" w:space="0" w:color="auto" w:frame="1"/>
        </w:rPr>
        <w:t>64(</w:t>
      </w:r>
      <w:r w:rsidRPr="00AA0EA7">
        <w:rPr>
          <w:rStyle w:val="slug-issue"/>
          <w:rFonts w:ascii="Garamond" w:hAnsi="Garamond"/>
          <w:i/>
          <w:sz w:val="20"/>
          <w:szCs w:val="20"/>
          <w:bdr w:val="none" w:sz="0" w:space="0" w:color="auto" w:frame="1"/>
        </w:rPr>
        <w:t>9),</w:t>
      </w:r>
      <w:r w:rsidRPr="00AA0EA7">
        <w:rPr>
          <w:rStyle w:val="slug-issue"/>
          <w:rFonts w:ascii="Garamond" w:hAnsi="Garamond"/>
          <w:sz w:val="20"/>
          <w:szCs w:val="20"/>
          <w:bdr w:val="none" w:sz="0" w:space="0" w:color="auto" w:frame="1"/>
        </w:rPr>
        <w:t xml:space="preserve"> </w:t>
      </w:r>
      <w:r w:rsidRPr="00AA0EA7">
        <w:rPr>
          <w:rStyle w:val="slug-pages"/>
          <w:rFonts w:ascii="Garamond" w:hAnsi="Garamond"/>
          <w:bCs/>
          <w:sz w:val="20"/>
          <w:szCs w:val="20"/>
          <w:bdr w:val="none" w:sz="0" w:space="0" w:color="auto" w:frame="1"/>
        </w:rPr>
        <w:t>1229-1253</w:t>
      </w:r>
      <w:r w:rsidRPr="00AA0EA7">
        <w:rPr>
          <w:rStyle w:val="slug-pub-date"/>
          <w:rFonts w:ascii="Garamond" w:hAnsi="Garamond"/>
          <w:bCs/>
          <w:sz w:val="20"/>
          <w:szCs w:val="20"/>
          <w:bdr w:val="none" w:sz="0" w:space="0" w:color="auto" w:frame="1"/>
        </w:rPr>
        <w:t>.</w:t>
      </w:r>
    </w:p>
    <w:p w14:paraId="0775271D" w14:textId="77777777" w:rsidR="00AA0EA7" w:rsidRPr="00AA0EA7" w:rsidRDefault="004141F1"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sz w:val="20"/>
          <w:szCs w:val="20"/>
        </w:rPr>
        <w:t>Nielsen, S. and Huse, M. (</w:t>
      </w:r>
      <w:r w:rsidR="00631CD6" w:rsidRPr="00AA0EA7">
        <w:rPr>
          <w:rFonts w:ascii="Garamond" w:hAnsi="Garamond"/>
          <w:sz w:val="20"/>
          <w:szCs w:val="20"/>
        </w:rPr>
        <w:t>2010</w:t>
      </w:r>
      <w:r w:rsidRPr="00AA0EA7">
        <w:rPr>
          <w:rFonts w:ascii="Garamond" w:hAnsi="Garamond"/>
          <w:sz w:val="20"/>
          <w:szCs w:val="20"/>
        </w:rPr>
        <w:t>)</w:t>
      </w:r>
      <w:r w:rsidR="00631CD6" w:rsidRPr="00AA0EA7">
        <w:rPr>
          <w:rFonts w:ascii="Garamond" w:hAnsi="Garamond"/>
          <w:sz w:val="20"/>
          <w:szCs w:val="20"/>
        </w:rPr>
        <w:t>. The contribution of women on boards of directors: Going beyond the surface. Corporate Gove</w:t>
      </w:r>
      <w:r w:rsidRPr="00AA0EA7">
        <w:rPr>
          <w:rFonts w:ascii="Garamond" w:hAnsi="Garamond"/>
          <w:sz w:val="20"/>
          <w:szCs w:val="20"/>
        </w:rPr>
        <w:t xml:space="preserve">rnance: An International Review, </w:t>
      </w:r>
      <w:r w:rsidR="00631CD6" w:rsidRPr="00AA0EA7">
        <w:rPr>
          <w:rFonts w:ascii="Garamond" w:hAnsi="Garamond"/>
          <w:i/>
          <w:sz w:val="20"/>
          <w:szCs w:val="20"/>
        </w:rPr>
        <w:t>18,</w:t>
      </w:r>
      <w:r w:rsidR="00EE704E" w:rsidRPr="00AA0EA7">
        <w:rPr>
          <w:rFonts w:ascii="Garamond" w:hAnsi="Garamond"/>
          <w:sz w:val="20"/>
          <w:szCs w:val="20"/>
        </w:rPr>
        <w:t xml:space="preserve"> 136-148.</w:t>
      </w:r>
    </w:p>
    <w:p w14:paraId="346A4300" w14:textId="77777777" w:rsidR="00AA0EA7" w:rsidRPr="00AA0EA7" w:rsidRDefault="00EE704E"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sz w:val="20"/>
          <w:szCs w:val="20"/>
        </w:rPr>
        <w:t xml:space="preserve">Nishii L. H. and Özbilgin M. F. (2007). Global diversity management: towards a conceptual framework, </w:t>
      </w:r>
      <w:r w:rsidRPr="00AA0EA7">
        <w:rPr>
          <w:rFonts w:ascii="Garamond" w:hAnsi="Garamond"/>
          <w:i/>
          <w:sz w:val="20"/>
          <w:szCs w:val="20"/>
        </w:rPr>
        <w:t>The International Journal of Human Resource Management</w:t>
      </w:r>
      <w:r w:rsidRPr="00AA0EA7">
        <w:rPr>
          <w:rFonts w:ascii="Garamond" w:hAnsi="Garamond"/>
          <w:sz w:val="20"/>
          <w:szCs w:val="20"/>
        </w:rPr>
        <w:t xml:space="preserve">, </w:t>
      </w:r>
      <w:r w:rsidRPr="00AA0EA7">
        <w:rPr>
          <w:rFonts w:ascii="Garamond" w:hAnsi="Garamond"/>
          <w:i/>
          <w:sz w:val="20"/>
          <w:szCs w:val="20"/>
        </w:rPr>
        <w:t>18(11)</w:t>
      </w:r>
      <w:r w:rsidRPr="00AA0EA7">
        <w:rPr>
          <w:rFonts w:ascii="Garamond" w:hAnsi="Garamond"/>
          <w:sz w:val="20"/>
          <w:szCs w:val="20"/>
        </w:rPr>
        <w:t>, 1883-1894.</w:t>
      </w:r>
    </w:p>
    <w:p w14:paraId="6B992B11" w14:textId="77777777" w:rsidR="00AA0EA7" w:rsidRPr="00AA0EA7" w:rsidRDefault="004141F1"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sz w:val="20"/>
          <w:szCs w:val="20"/>
        </w:rPr>
        <w:t>Post, C. and Byron, K. (</w:t>
      </w:r>
      <w:r w:rsidR="00631CD6" w:rsidRPr="00AA0EA7">
        <w:rPr>
          <w:rFonts w:ascii="Garamond" w:hAnsi="Garamond"/>
          <w:sz w:val="20"/>
          <w:szCs w:val="20"/>
        </w:rPr>
        <w:t>2015</w:t>
      </w:r>
      <w:r w:rsidRPr="00AA0EA7">
        <w:rPr>
          <w:rFonts w:ascii="Garamond" w:hAnsi="Garamond"/>
          <w:sz w:val="20"/>
          <w:szCs w:val="20"/>
        </w:rPr>
        <w:t>)</w:t>
      </w:r>
      <w:r w:rsidR="00631CD6" w:rsidRPr="00AA0EA7">
        <w:rPr>
          <w:rFonts w:ascii="Garamond" w:hAnsi="Garamond"/>
          <w:sz w:val="20"/>
          <w:szCs w:val="20"/>
        </w:rPr>
        <w:t>. Women on boards and firm financial performance: A meta-analysis</w:t>
      </w:r>
      <w:r w:rsidRPr="00AA0EA7">
        <w:rPr>
          <w:rFonts w:ascii="Garamond" w:hAnsi="Garamond"/>
          <w:sz w:val="20"/>
          <w:szCs w:val="20"/>
        </w:rPr>
        <w:t xml:space="preserve">. Academy of Management Journal, </w:t>
      </w:r>
      <w:r w:rsidR="00631CD6" w:rsidRPr="00AA0EA7">
        <w:rPr>
          <w:rFonts w:ascii="Garamond" w:hAnsi="Garamond"/>
          <w:i/>
          <w:sz w:val="20"/>
          <w:szCs w:val="20"/>
        </w:rPr>
        <w:t>58</w:t>
      </w:r>
      <w:r w:rsidR="00EE704E" w:rsidRPr="00AA0EA7">
        <w:rPr>
          <w:rFonts w:ascii="Garamond" w:hAnsi="Garamond"/>
          <w:sz w:val="20"/>
          <w:szCs w:val="20"/>
        </w:rPr>
        <w:t>, 1546-1571.</w:t>
      </w:r>
    </w:p>
    <w:p w14:paraId="6E1623BC" w14:textId="77777777" w:rsidR="00AA0EA7" w:rsidRPr="00AA0EA7" w:rsidRDefault="004141F1" w:rsidP="00AB6617">
      <w:pPr>
        <w:pStyle w:val="EndNoteBibliography"/>
        <w:spacing w:before="80" w:after="80"/>
        <w:rPr>
          <w:rFonts w:ascii="Garamond" w:hAnsi="Garamond"/>
          <w:sz w:val="20"/>
          <w:szCs w:val="20"/>
        </w:rPr>
      </w:pPr>
      <w:r w:rsidRPr="00AA0EA7">
        <w:rPr>
          <w:rFonts w:ascii="Garamond" w:hAnsi="Garamond"/>
          <w:sz w:val="20"/>
          <w:szCs w:val="20"/>
        </w:rPr>
        <w:t>Robinson, G. and Dechant, K. (</w:t>
      </w:r>
      <w:r w:rsidR="00631CD6" w:rsidRPr="00AA0EA7">
        <w:rPr>
          <w:rFonts w:ascii="Garamond" w:hAnsi="Garamond"/>
          <w:sz w:val="20"/>
          <w:szCs w:val="20"/>
        </w:rPr>
        <w:t>1997</w:t>
      </w:r>
      <w:r w:rsidRPr="00AA0EA7">
        <w:rPr>
          <w:rFonts w:ascii="Garamond" w:hAnsi="Garamond"/>
          <w:sz w:val="20"/>
          <w:szCs w:val="20"/>
        </w:rPr>
        <w:t>)</w:t>
      </w:r>
      <w:r w:rsidR="00631CD6" w:rsidRPr="00AA0EA7">
        <w:rPr>
          <w:rFonts w:ascii="Garamond" w:hAnsi="Garamond"/>
          <w:sz w:val="20"/>
          <w:szCs w:val="20"/>
        </w:rPr>
        <w:t>. Building a Business Case for Diversity. Academy of Management Executive</w:t>
      </w:r>
      <w:r w:rsidRPr="00AA0EA7">
        <w:rPr>
          <w:rFonts w:ascii="Garamond" w:hAnsi="Garamond"/>
          <w:sz w:val="20"/>
          <w:szCs w:val="20"/>
        </w:rPr>
        <w:t>,</w:t>
      </w:r>
      <w:r w:rsidR="00631CD6" w:rsidRPr="00AA0EA7">
        <w:rPr>
          <w:rFonts w:ascii="Garamond" w:hAnsi="Garamond"/>
          <w:sz w:val="20"/>
          <w:szCs w:val="20"/>
        </w:rPr>
        <w:t xml:space="preserve"> </w:t>
      </w:r>
      <w:r w:rsidR="00631CD6" w:rsidRPr="00AA0EA7">
        <w:rPr>
          <w:rFonts w:ascii="Garamond" w:hAnsi="Garamond"/>
          <w:i/>
          <w:sz w:val="20"/>
          <w:szCs w:val="20"/>
        </w:rPr>
        <w:t>11</w:t>
      </w:r>
      <w:r w:rsidR="00631CD6" w:rsidRPr="00AA0EA7">
        <w:rPr>
          <w:rFonts w:ascii="Garamond" w:hAnsi="Garamond"/>
          <w:sz w:val="20"/>
          <w:szCs w:val="20"/>
        </w:rPr>
        <w:t>, 21-31.</w:t>
      </w:r>
      <w:r w:rsidR="00AA0EA7" w:rsidRPr="00AA0EA7">
        <w:rPr>
          <w:rFonts w:ascii="Garamond" w:hAnsi="Garamond"/>
          <w:sz w:val="20"/>
          <w:szCs w:val="20"/>
        </w:rPr>
        <w:t xml:space="preserve"> </w:t>
      </w:r>
    </w:p>
    <w:p w14:paraId="6265C72D" w14:textId="77777777" w:rsidR="00AA0EA7" w:rsidRPr="00AA0EA7" w:rsidRDefault="00AA0EA7"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cs="Arial"/>
          <w:color w:val="222222"/>
          <w:sz w:val="20"/>
          <w:szCs w:val="20"/>
          <w:shd w:val="clear" w:color="auto" w:fill="FFFFFF"/>
        </w:rPr>
        <w:t>Rolf, S. J., Schlachter, S. D., &amp; Welbourne, T. M. (2016). Leading Sustainable Global Change from Within: The Case of Environmental Employee Resource Groups.</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Employment Relations Today</w:t>
      </w:r>
      <w:r w:rsidRPr="00AA0EA7">
        <w:rPr>
          <w:rFonts w:ascii="Garamond" w:hAnsi="Garamond" w:cs="Arial"/>
          <w:color w:val="222222"/>
          <w:sz w:val="20"/>
          <w:szCs w:val="20"/>
          <w:shd w:val="clear" w:color="auto" w:fill="FFFFFF"/>
        </w:rPr>
        <w:t xml:space="preserve">, </w:t>
      </w:r>
      <w:r w:rsidRPr="00AA0EA7">
        <w:rPr>
          <w:rFonts w:ascii="Garamond" w:hAnsi="Garamond" w:cs="Arial"/>
          <w:i/>
          <w:iCs/>
          <w:color w:val="222222"/>
          <w:sz w:val="20"/>
          <w:szCs w:val="20"/>
          <w:shd w:val="clear" w:color="auto" w:fill="FFFFFF"/>
        </w:rPr>
        <w:t>43</w:t>
      </w:r>
      <w:r w:rsidRPr="00AA0EA7">
        <w:rPr>
          <w:rFonts w:ascii="Garamond" w:hAnsi="Garamond" w:cs="Arial"/>
          <w:color w:val="222222"/>
          <w:sz w:val="20"/>
          <w:szCs w:val="20"/>
          <w:shd w:val="clear" w:color="auto" w:fill="FFFFFF"/>
        </w:rPr>
        <w:t xml:space="preserve">(2), 17-23. </w:t>
      </w:r>
    </w:p>
    <w:p w14:paraId="7596E821" w14:textId="77777777" w:rsidR="00AA0EA7" w:rsidRPr="00AA0EA7" w:rsidRDefault="00AA0EA7"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sz w:val="20"/>
          <w:szCs w:val="20"/>
        </w:rPr>
        <w:t xml:space="preserve">Tatli, A. and Özbilgin, M. (2009). Understanding Diversity Managers’ Role in Organizational Change: Towards a Conceptual Framework. </w:t>
      </w:r>
      <w:r w:rsidRPr="00AA0EA7">
        <w:rPr>
          <w:rFonts w:ascii="Garamond" w:hAnsi="Garamond"/>
          <w:i/>
          <w:sz w:val="20"/>
          <w:szCs w:val="20"/>
        </w:rPr>
        <w:t>Canadian Journal of Administrative Sciences</w:t>
      </w:r>
      <w:r w:rsidRPr="00AA0EA7">
        <w:rPr>
          <w:rFonts w:ascii="Garamond" w:hAnsi="Garamond"/>
          <w:sz w:val="20"/>
          <w:szCs w:val="20"/>
        </w:rPr>
        <w:t xml:space="preserve">, </w:t>
      </w:r>
      <w:r w:rsidRPr="00AA0EA7">
        <w:rPr>
          <w:rFonts w:ascii="Garamond" w:hAnsi="Garamond"/>
          <w:i/>
          <w:sz w:val="20"/>
          <w:szCs w:val="20"/>
        </w:rPr>
        <w:t>26(3)</w:t>
      </w:r>
      <w:r w:rsidRPr="00AA0EA7">
        <w:rPr>
          <w:rFonts w:ascii="Garamond" w:hAnsi="Garamond"/>
          <w:sz w:val="20"/>
          <w:szCs w:val="20"/>
        </w:rPr>
        <w:t>, 244-258.</w:t>
      </w:r>
    </w:p>
    <w:p w14:paraId="39543193" w14:textId="77777777" w:rsidR="00AA0EA7" w:rsidRPr="00AA0EA7" w:rsidRDefault="00AA0EA7"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sz w:val="20"/>
          <w:szCs w:val="20"/>
        </w:rPr>
        <w:t xml:space="preserve">Tatli, A. and Özbilgin, M. (2012). </w:t>
      </w:r>
      <w:r w:rsidRPr="00AA0EA7">
        <w:rPr>
          <w:rStyle w:val="Strong"/>
          <w:rFonts w:ascii="Garamond" w:hAnsi="Garamond"/>
          <w:b w:val="0"/>
          <w:sz w:val="20"/>
          <w:szCs w:val="20"/>
        </w:rPr>
        <w:t>An Emic Approach to Intersectional Study of Diversity at Work: a Bourdieuan Framing. International</w:t>
      </w:r>
      <w:r w:rsidRPr="00AA0EA7">
        <w:rPr>
          <w:rStyle w:val="Emphasis"/>
          <w:rFonts w:ascii="Garamond" w:hAnsi="Garamond"/>
          <w:sz w:val="20"/>
          <w:szCs w:val="20"/>
        </w:rPr>
        <w:t xml:space="preserve"> Journal of Management Reviews</w:t>
      </w:r>
      <w:r w:rsidRPr="00AA0EA7">
        <w:rPr>
          <w:rStyle w:val="apple-converted-space"/>
          <w:rFonts w:ascii="Garamond" w:hAnsi="Garamond"/>
          <w:sz w:val="20"/>
          <w:szCs w:val="20"/>
        </w:rPr>
        <w:t xml:space="preserve">, </w:t>
      </w:r>
      <w:r w:rsidRPr="00AA0EA7">
        <w:rPr>
          <w:rFonts w:ascii="Garamond" w:hAnsi="Garamond"/>
          <w:i/>
          <w:sz w:val="20"/>
          <w:szCs w:val="20"/>
        </w:rPr>
        <w:t>14(2),</w:t>
      </w:r>
      <w:r w:rsidRPr="00AA0EA7">
        <w:rPr>
          <w:rFonts w:ascii="Garamond" w:hAnsi="Garamond"/>
          <w:sz w:val="20"/>
          <w:szCs w:val="20"/>
        </w:rPr>
        <w:t xml:space="preserve"> 180-200.</w:t>
      </w:r>
    </w:p>
    <w:p w14:paraId="6DFEAA58" w14:textId="77777777" w:rsidR="00AA0EA7" w:rsidRPr="00AA0EA7" w:rsidRDefault="00631CD6"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sz w:val="20"/>
          <w:szCs w:val="20"/>
        </w:rPr>
        <w:t>Terjesen, S., Sealy, R. and Singh, V.</w:t>
      </w:r>
      <w:r w:rsidR="004141F1" w:rsidRPr="00AA0EA7">
        <w:rPr>
          <w:rFonts w:ascii="Garamond" w:hAnsi="Garamond"/>
          <w:sz w:val="20"/>
          <w:szCs w:val="20"/>
        </w:rPr>
        <w:t xml:space="preserve"> (</w:t>
      </w:r>
      <w:r w:rsidRPr="00AA0EA7">
        <w:rPr>
          <w:rFonts w:ascii="Garamond" w:hAnsi="Garamond"/>
          <w:sz w:val="20"/>
          <w:szCs w:val="20"/>
        </w:rPr>
        <w:t>2009</w:t>
      </w:r>
      <w:r w:rsidR="004141F1" w:rsidRPr="00AA0EA7">
        <w:rPr>
          <w:rFonts w:ascii="Garamond" w:hAnsi="Garamond"/>
          <w:sz w:val="20"/>
          <w:szCs w:val="20"/>
        </w:rPr>
        <w:t>)</w:t>
      </w:r>
      <w:r w:rsidRPr="00AA0EA7">
        <w:rPr>
          <w:rFonts w:ascii="Garamond" w:hAnsi="Garamond"/>
          <w:sz w:val="20"/>
          <w:szCs w:val="20"/>
        </w:rPr>
        <w:t>. Women directors on corporate boards: A review and research agenda. Corporate Gove</w:t>
      </w:r>
      <w:r w:rsidR="004141F1" w:rsidRPr="00AA0EA7">
        <w:rPr>
          <w:rFonts w:ascii="Garamond" w:hAnsi="Garamond"/>
          <w:sz w:val="20"/>
          <w:szCs w:val="20"/>
        </w:rPr>
        <w:t xml:space="preserve">rnance: An International Review, </w:t>
      </w:r>
      <w:r w:rsidRPr="00AA0EA7">
        <w:rPr>
          <w:rFonts w:ascii="Garamond" w:hAnsi="Garamond"/>
          <w:i/>
          <w:sz w:val="20"/>
          <w:szCs w:val="20"/>
        </w:rPr>
        <w:t>17</w:t>
      </w:r>
      <w:r w:rsidRPr="00AA0EA7">
        <w:rPr>
          <w:rFonts w:ascii="Garamond" w:hAnsi="Garamond"/>
          <w:sz w:val="20"/>
          <w:szCs w:val="20"/>
        </w:rPr>
        <w:t xml:space="preserve">, </w:t>
      </w:r>
      <w:r w:rsidR="00634CE5" w:rsidRPr="00AA0EA7">
        <w:rPr>
          <w:rFonts w:ascii="Garamond" w:hAnsi="Garamond"/>
          <w:sz w:val="20"/>
          <w:szCs w:val="20"/>
        </w:rPr>
        <w:t>320-337.</w:t>
      </w:r>
    </w:p>
    <w:p w14:paraId="5DD9D8EB" w14:textId="77777777" w:rsidR="005A7986" w:rsidRPr="00AA0EA7" w:rsidRDefault="005A7986" w:rsidP="00AB6617">
      <w:pPr>
        <w:pStyle w:val="EndNoteBibliography"/>
        <w:spacing w:before="80" w:after="80"/>
        <w:rPr>
          <w:rFonts w:ascii="Garamond" w:hAnsi="Garamond" w:cs="Arial"/>
          <w:color w:val="222222"/>
          <w:sz w:val="20"/>
          <w:szCs w:val="20"/>
          <w:shd w:val="clear" w:color="auto" w:fill="FFFFFF"/>
        </w:rPr>
      </w:pPr>
      <w:r w:rsidRPr="00AA0EA7">
        <w:rPr>
          <w:rFonts w:ascii="Garamond" w:hAnsi="Garamond" w:cs="Arial"/>
          <w:color w:val="222222"/>
          <w:sz w:val="20"/>
          <w:szCs w:val="20"/>
          <w:shd w:val="clear" w:color="auto" w:fill="FFFFFF"/>
        </w:rPr>
        <w:t>Welbourne, T. M., &amp; McLaughlin, L. L. (2013). Making the business case for employee resource groups.</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Employment Relations Today</w:t>
      </w:r>
      <w:r w:rsidRPr="00AA0EA7">
        <w:rPr>
          <w:rFonts w:ascii="Garamond" w:hAnsi="Garamond" w:cs="Arial"/>
          <w:color w:val="222222"/>
          <w:sz w:val="20"/>
          <w:szCs w:val="20"/>
          <w:shd w:val="clear" w:color="auto" w:fill="FFFFFF"/>
        </w:rPr>
        <w:t>,</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40</w:t>
      </w:r>
      <w:r w:rsidRPr="00AA0EA7">
        <w:rPr>
          <w:rFonts w:ascii="Garamond" w:hAnsi="Garamond" w:cs="Arial"/>
          <w:color w:val="222222"/>
          <w:sz w:val="20"/>
          <w:szCs w:val="20"/>
          <w:shd w:val="clear" w:color="auto" w:fill="FFFFFF"/>
        </w:rPr>
        <w:t>(2), 35-44.</w:t>
      </w:r>
    </w:p>
    <w:p w14:paraId="09639F64" w14:textId="77777777" w:rsidR="005A7986" w:rsidRPr="003F46C0" w:rsidRDefault="005A7986" w:rsidP="00AB6617">
      <w:pPr>
        <w:pStyle w:val="EndNoteBibliography"/>
        <w:spacing w:before="80" w:after="80"/>
        <w:rPr>
          <w:rFonts w:ascii="Garamond" w:hAnsi="Garamond"/>
          <w:b/>
          <w:sz w:val="22"/>
        </w:rPr>
      </w:pPr>
      <w:r w:rsidRPr="00AA0EA7">
        <w:rPr>
          <w:rFonts w:ascii="Garamond" w:hAnsi="Garamond" w:cs="Arial"/>
          <w:color w:val="222222"/>
          <w:sz w:val="20"/>
          <w:szCs w:val="20"/>
          <w:shd w:val="clear" w:color="auto" w:fill="FFFFFF"/>
        </w:rPr>
        <w:t>Welbourne, T. M., Rolf, S., &amp; Schlachter, S. (2015). Employee Resource Groups: An Introduction, Review and Research Agenda. In</w:t>
      </w:r>
      <w:r w:rsidRPr="00AA0EA7">
        <w:rPr>
          <w:rStyle w:val="apple-converted-space"/>
          <w:rFonts w:ascii="Garamond" w:hAnsi="Garamond" w:cs="Arial"/>
          <w:color w:val="222222"/>
          <w:sz w:val="20"/>
          <w:szCs w:val="20"/>
          <w:shd w:val="clear" w:color="auto" w:fill="FFFFFF"/>
        </w:rPr>
        <w:t> </w:t>
      </w:r>
      <w:r w:rsidRPr="00AA0EA7">
        <w:rPr>
          <w:rFonts w:ascii="Garamond" w:hAnsi="Garamond" w:cs="Arial"/>
          <w:i/>
          <w:iCs/>
          <w:color w:val="222222"/>
          <w:sz w:val="20"/>
          <w:szCs w:val="20"/>
          <w:shd w:val="clear" w:color="auto" w:fill="FFFFFF"/>
        </w:rPr>
        <w:t>Academy of Management Proceedings</w:t>
      </w:r>
      <w:r w:rsidR="00AA0EA7">
        <w:rPr>
          <w:rStyle w:val="apple-converted-space"/>
          <w:rFonts w:ascii="Garamond" w:hAnsi="Garamond" w:cs="Arial"/>
          <w:color w:val="222222"/>
          <w:sz w:val="20"/>
          <w:szCs w:val="20"/>
          <w:shd w:val="clear" w:color="auto" w:fill="FFFFFF"/>
        </w:rPr>
        <w:t xml:space="preserve">, </w:t>
      </w:r>
      <w:r w:rsidRPr="00AA0EA7">
        <w:rPr>
          <w:rFonts w:ascii="Garamond" w:hAnsi="Garamond" w:cs="Arial"/>
          <w:color w:val="222222"/>
          <w:sz w:val="20"/>
          <w:szCs w:val="20"/>
          <w:shd w:val="clear" w:color="auto" w:fill="FFFFFF"/>
        </w:rPr>
        <w:t>Academy of Management</w:t>
      </w:r>
      <w:r w:rsidR="00AA0EA7">
        <w:rPr>
          <w:rFonts w:ascii="Garamond" w:hAnsi="Garamond" w:cs="Arial"/>
          <w:color w:val="222222"/>
          <w:sz w:val="20"/>
          <w:szCs w:val="20"/>
          <w:shd w:val="clear" w:color="auto" w:fill="FFFFFF"/>
        </w:rPr>
        <w:t xml:space="preserve">, </w:t>
      </w:r>
      <w:r w:rsidR="00AA0EA7" w:rsidRPr="00AB6617">
        <w:rPr>
          <w:rFonts w:ascii="Garamond" w:hAnsi="Garamond" w:cs="Arial"/>
          <w:i/>
          <w:color w:val="222222"/>
          <w:sz w:val="20"/>
          <w:szCs w:val="20"/>
          <w:shd w:val="clear" w:color="auto" w:fill="FFFFFF"/>
        </w:rPr>
        <w:t xml:space="preserve"> 2015(1), </w:t>
      </w:r>
      <w:r w:rsidR="00AA0EA7">
        <w:rPr>
          <w:rFonts w:ascii="Garamond" w:hAnsi="Garamond" w:cs="Arial"/>
          <w:color w:val="222222"/>
          <w:sz w:val="20"/>
          <w:szCs w:val="20"/>
          <w:shd w:val="clear" w:color="auto" w:fill="FFFFFF"/>
        </w:rPr>
        <w:t>15661.</w:t>
      </w:r>
    </w:p>
    <w:sectPr w:rsidR="005A7986" w:rsidRPr="003F46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C92CB" w14:textId="77777777" w:rsidR="0038183A" w:rsidRDefault="0038183A" w:rsidP="00B74749">
      <w:pPr>
        <w:spacing w:after="0" w:line="240" w:lineRule="auto"/>
      </w:pPr>
      <w:r>
        <w:separator/>
      </w:r>
    </w:p>
  </w:endnote>
  <w:endnote w:type="continuationSeparator" w:id="0">
    <w:p w14:paraId="1DAAA308" w14:textId="77777777" w:rsidR="0038183A" w:rsidRDefault="0038183A" w:rsidP="00B74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1D6AC" w14:textId="77777777" w:rsidR="0038183A" w:rsidRDefault="0038183A" w:rsidP="00B74749">
      <w:pPr>
        <w:spacing w:after="0" w:line="240" w:lineRule="auto"/>
      </w:pPr>
      <w:r>
        <w:separator/>
      </w:r>
    </w:p>
  </w:footnote>
  <w:footnote w:type="continuationSeparator" w:id="0">
    <w:p w14:paraId="15980A6E" w14:textId="77777777" w:rsidR="0038183A" w:rsidRDefault="0038183A" w:rsidP="00B7474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572ED"/>
    <w:multiLevelType w:val="hybridMultilevel"/>
    <w:tmpl w:val="8318B42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
    <w:nsid w:val="07586046"/>
    <w:multiLevelType w:val="hybridMultilevel"/>
    <w:tmpl w:val="66C297CC"/>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nsid w:val="40641075"/>
    <w:multiLevelType w:val="hybridMultilevel"/>
    <w:tmpl w:val="E368CB02"/>
    <w:lvl w:ilvl="0" w:tplc="040C000F">
      <w:start w:val="1"/>
      <w:numFmt w:val="decimal"/>
      <w:lvlText w:val="%1."/>
      <w:lvlJc w:val="left"/>
      <w:pPr>
        <w:ind w:left="644" w:hanging="360"/>
      </w:pPr>
      <w:rPr>
        <w:rFonts w:hint="default"/>
      </w:rPr>
    </w:lvl>
    <w:lvl w:ilvl="1" w:tplc="040C0001">
      <w:start w:val="1"/>
      <w:numFmt w:val="bullet"/>
      <w:lvlText w:val=""/>
      <w:lvlJc w:val="left"/>
      <w:pPr>
        <w:ind w:left="502" w:hanging="360"/>
      </w:pPr>
      <w:rPr>
        <w:rFonts w:ascii="Symbol" w:hAnsi="Symbol" w:hint="default"/>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nsid w:val="70193C48"/>
    <w:multiLevelType w:val="hybridMultilevel"/>
    <w:tmpl w:val="51965C7C"/>
    <w:lvl w:ilvl="0" w:tplc="AE962484">
      <w:start w:val="11"/>
      <w:numFmt w:val="bullet"/>
      <w:lvlText w:val="-"/>
      <w:lvlJc w:val="left"/>
      <w:pPr>
        <w:ind w:left="720" w:hanging="360"/>
      </w:pPr>
      <w:rPr>
        <w:rFonts w:ascii="Garamond" w:eastAsia="Calibri" w:hAnsi="Garamond" w:cs="Times New Roman" w:hint="default"/>
      </w:rPr>
    </w:lvl>
    <w:lvl w:ilvl="1" w:tplc="040C0003">
      <w:start w:val="1"/>
      <w:numFmt w:val="bullet"/>
      <w:lvlText w:val="o"/>
      <w:lvlJc w:val="left"/>
      <w:pPr>
        <w:ind w:left="1212"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Finance Rearch Letter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ttfwvtvgwrefpes9t7vdfs2pdsrxawexs5v&quot;&gt;SaoBien&lt;record-ids&gt;&lt;item&gt;25&lt;/item&gt;&lt;item&gt;47&lt;/item&gt;&lt;item&gt;111&lt;/item&gt;&lt;item&gt;238&lt;/item&gt;&lt;item&gt;562&lt;/item&gt;&lt;item&gt;766&lt;/item&gt;&lt;item&gt;822&lt;/item&gt;&lt;item&gt;1044&lt;/item&gt;&lt;/record-ids&gt;&lt;/item&gt;&lt;/Libraries&gt;"/>
  </w:docVars>
  <w:rsids>
    <w:rsidRoot w:val="005346A0"/>
    <w:rsid w:val="00000852"/>
    <w:rsid w:val="000270A1"/>
    <w:rsid w:val="000A5F5E"/>
    <w:rsid w:val="000C496C"/>
    <w:rsid w:val="000D0026"/>
    <w:rsid w:val="000E1674"/>
    <w:rsid w:val="00117FB3"/>
    <w:rsid w:val="00131CD7"/>
    <w:rsid w:val="00152C75"/>
    <w:rsid w:val="00174A94"/>
    <w:rsid w:val="001908E7"/>
    <w:rsid w:val="00246380"/>
    <w:rsid w:val="002A4DBE"/>
    <w:rsid w:val="002E3C4C"/>
    <w:rsid w:val="002F62B1"/>
    <w:rsid w:val="0038183A"/>
    <w:rsid w:val="003C2E3D"/>
    <w:rsid w:val="003E1342"/>
    <w:rsid w:val="003F46C0"/>
    <w:rsid w:val="003F6788"/>
    <w:rsid w:val="00402556"/>
    <w:rsid w:val="004141F1"/>
    <w:rsid w:val="004661F0"/>
    <w:rsid w:val="004C6ADB"/>
    <w:rsid w:val="005234F4"/>
    <w:rsid w:val="005346A0"/>
    <w:rsid w:val="00563603"/>
    <w:rsid w:val="005845F1"/>
    <w:rsid w:val="005934BB"/>
    <w:rsid w:val="005A2933"/>
    <w:rsid w:val="005A7986"/>
    <w:rsid w:val="005D34D6"/>
    <w:rsid w:val="00617F08"/>
    <w:rsid w:val="00631CD6"/>
    <w:rsid w:val="00634CE5"/>
    <w:rsid w:val="00663A8C"/>
    <w:rsid w:val="006A1DF8"/>
    <w:rsid w:val="006C55F6"/>
    <w:rsid w:val="00785BF4"/>
    <w:rsid w:val="007864CC"/>
    <w:rsid w:val="00787B82"/>
    <w:rsid w:val="008062C8"/>
    <w:rsid w:val="008C0D3E"/>
    <w:rsid w:val="0091319D"/>
    <w:rsid w:val="00AA0EA7"/>
    <w:rsid w:val="00AB6617"/>
    <w:rsid w:val="00B436DD"/>
    <w:rsid w:val="00B74749"/>
    <w:rsid w:val="00B865B0"/>
    <w:rsid w:val="00B87B3F"/>
    <w:rsid w:val="00BA75EB"/>
    <w:rsid w:val="00BF2305"/>
    <w:rsid w:val="00C063E5"/>
    <w:rsid w:val="00C2096E"/>
    <w:rsid w:val="00C25A4F"/>
    <w:rsid w:val="00C5720A"/>
    <w:rsid w:val="00CB7EC6"/>
    <w:rsid w:val="00D61AF1"/>
    <w:rsid w:val="00DD1E38"/>
    <w:rsid w:val="00DD2D1A"/>
    <w:rsid w:val="00DD5663"/>
    <w:rsid w:val="00DE6204"/>
    <w:rsid w:val="00EA7F40"/>
    <w:rsid w:val="00ED0874"/>
    <w:rsid w:val="00EE326B"/>
    <w:rsid w:val="00EE704E"/>
    <w:rsid w:val="00F02518"/>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55011"/>
  <w15:chartTrackingRefBased/>
  <w15:docId w15:val="{F98B5914-F9AF-4BA5-B9D4-E7CC9C529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74749"/>
    <w:pPr>
      <w:spacing w:after="0" w:line="240" w:lineRule="auto"/>
    </w:pPr>
    <w:rPr>
      <w:sz w:val="20"/>
      <w:szCs w:val="20"/>
    </w:rPr>
  </w:style>
  <w:style w:type="character" w:customStyle="1" w:styleId="FootnoteTextChar">
    <w:name w:val="Footnote Text Char"/>
    <w:link w:val="FootnoteText"/>
    <w:uiPriority w:val="99"/>
    <w:semiHidden/>
    <w:rsid w:val="00B74749"/>
    <w:rPr>
      <w:lang w:eastAsia="en-US"/>
    </w:rPr>
  </w:style>
  <w:style w:type="character" w:styleId="FootnoteReference">
    <w:name w:val="footnote reference"/>
    <w:uiPriority w:val="99"/>
    <w:semiHidden/>
    <w:unhideWhenUsed/>
    <w:rsid w:val="00B74749"/>
    <w:rPr>
      <w:vertAlign w:val="superscript"/>
    </w:rPr>
  </w:style>
  <w:style w:type="paragraph" w:customStyle="1" w:styleId="EndNoteBibliographyTitle">
    <w:name w:val="EndNote Bibliography Title"/>
    <w:basedOn w:val="Normal"/>
    <w:link w:val="EndNoteBibliographyTitleCar"/>
    <w:rsid w:val="002A4DBE"/>
    <w:pPr>
      <w:spacing w:after="0"/>
      <w:jc w:val="center"/>
    </w:pPr>
    <w:rPr>
      <w:rFonts w:ascii="Times New Roman" w:hAnsi="Times New Roman"/>
      <w:noProof/>
      <w:sz w:val="24"/>
      <w:lang w:val="en-US"/>
    </w:rPr>
  </w:style>
  <w:style w:type="character" w:customStyle="1" w:styleId="EndNoteBibliographyTitleCar">
    <w:name w:val="EndNote Bibliography Title Car"/>
    <w:link w:val="EndNoteBibliographyTitle"/>
    <w:rsid w:val="002A4DBE"/>
    <w:rPr>
      <w:rFonts w:ascii="Times New Roman" w:hAnsi="Times New Roman"/>
      <w:noProof/>
      <w:sz w:val="24"/>
      <w:szCs w:val="22"/>
      <w:lang w:val="en-US" w:eastAsia="en-US"/>
    </w:rPr>
  </w:style>
  <w:style w:type="paragraph" w:customStyle="1" w:styleId="EndNoteBibliography">
    <w:name w:val="EndNote Bibliography"/>
    <w:basedOn w:val="Normal"/>
    <w:link w:val="EndNoteBibliographyCar"/>
    <w:rsid w:val="002A4DBE"/>
    <w:pPr>
      <w:spacing w:line="240" w:lineRule="auto"/>
      <w:jc w:val="both"/>
    </w:pPr>
    <w:rPr>
      <w:rFonts w:ascii="Times New Roman" w:hAnsi="Times New Roman"/>
      <w:noProof/>
      <w:sz w:val="24"/>
      <w:lang w:val="en-US"/>
    </w:rPr>
  </w:style>
  <w:style w:type="character" w:customStyle="1" w:styleId="EndNoteBibliographyCar">
    <w:name w:val="EndNote Bibliography Car"/>
    <w:link w:val="EndNoteBibliography"/>
    <w:rsid w:val="002A4DBE"/>
    <w:rPr>
      <w:rFonts w:ascii="Times New Roman" w:hAnsi="Times New Roman"/>
      <w:noProof/>
      <w:sz w:val="24"/>
      <w:szCs w:val="22"/>
      <w:lang w:val="en-US" w:eastAsia="en-US"/>
    </w:rPr>
  </w:style>
  <w:style w:type="paragraph" w:styleId="ListParagraph">
    <w:name w:val="List Paragraph"/>
    <w:basedOn w:val="Normal"/>
    <w:uiPriority w:val="34"/>
    <w:qFormat/>
    <w:rsid w:val="005D34D6"/>
    <w:pPr>
      <w:ind w:left="720"/>
      <w:contextualSpacing/>
    </w:pPr>
  </w:style>
  <w:style w:type="paragraph" w:customStyle="1" w:styleId="Default">
    <w:name w:val="Default"/>
    <w:rsid w:val="00EE326B"/>
    <w:pPr>
      <w:autoSpaceDE w:val="0"/>
      <w:autoSpaceDN w:val="0"/>
      <w:adjustRightInd w:val="0"/>
    </w:pPr>
    <w:rPr>
      <w:rFonts w:ascii="Times New Roman" w:eastAsia="Arial" w:hAnsi="Times New Roman"/>
      <w:color w:val="000000"/>
      <w:sz w:val="24"/>
      <w:szCs w:val="24"/>
      <w:lang w:eastAsia="en-US"/>
    </w:rPr>
  </w:style>
  <w:style w:type="character" w:customStyle="1" w:styleId="apple-converted-space">
    <w:name w:val="apple-converted-space"/>
    <w:rsid w:val="00EE326B"/>
  </w:style>
  <w:style w:type="character" w:customStyle="1" w:styleId="gsctg">
    <w:name w:val="gs_ctg"/>
    <w:uiPriority w:val="99"/>
    <w:rsid w:val="00EE326B"/>
  </w:style>
  <w:style w:type="character" w:styleId="HTMLCite">
    <w:name w:val="HTML Cite"/>
    <w:uiPriority w:val="99"/>
    <w:unhideWhenUsed/>
    <w:rsid w:val="00DD1E38"/>
    <w:rPr>
      <w:i/>
      <w:iCs/>
    </w:rPr>
  </w:style>
  <w:style w:type="character" w:customStyle="1" w:styleId="apple-style-span">
    <w:name w:val="apple-style-span"/>
    <w:rsid w:val="00DD1E38"/>
  </w:style>
  <w:style w:type="character" w:customStyle="1" w:styleId="slug-vol">
    <w:name w:val="slug-vol"/>
    <w:rsid w:val="00DD1E38"/>
  </w:style>
  <w:style w:type="character" w:customStyle="1" w:styleId="slug-issue">
    <w:name w:val="slug-issue"/>
    <w:rsid w:val="00DD1E38"/>
  </w:style>
  <w:style w:type="character" w:customStyle="1" w:styleId="slug-pages">
    <w:name w:val="slug-pages"/>
    <w:rsid w:val="00DD1E38"/>
  </w:style>
  <w:style w:type="character" w:customStyle="1" w:styleId="slug-pub-date">
    <w:name w:val="slug-pub-date"/>
    <w:rsid w:val="00DD1E38"/>
    <w:rPr>
      <w:rFonts w:cs="Times New Roman"/>
    </w:rPr>
  </w:style>
  <w:style w:type="character" w:styleId="Emphasis">
    <w:name w:val="Emphasis"/>
    <w:uiPriority w:val="20"/>
    <w:qFormat/>
    <w:rsid w:val="00DD1E38"/>
    <w:rPr>
      <w:rFonts w:cs="Times New Roman"/>
      <w:i/>
      <w:iCs/>
    </w:rPr>
  </w:style>
  <w:style w:type="character" w:styleId="Strong">
    <w:name w:val="Strong"/>
    <w:uiPriority w:val="22"/>
    <w:qFormat/>
    <w:rsid w:val="00DD1E38"/>
    <w:rPr>
      <w:b/>
      <w:bCs/>
    </w:rPr>
  </w:style>
  <w:style w:type="paragraph" w:styleId="NormalWeb">
    <w:name w:val="Normal (Web)"/>
    <w:basedOn w:val="Normal"/>
    <w:uiPriority w:val="99"/>
    <w:unhideWhenUsed/>
    <w:rsid w:val="00CB7EC6"/>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34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1738</Words>
  <Characters>9908</Characters>
  <Application>Microsoft Macintosh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 DANG</dc:creator>
  <cp:keywords/>
  <dc:description/>
  <cp:lastModifiedBy>Joana Vassilopoulou Vassilopoulou</cp:lastModifiedBy>
  <cp:revision>2</cp:revision>
  <cp:lastPrinted>2017-02-12T23:04:00Z</cp:lastPrinted>
  <dcterms:created xsi:type="dcterms:W3CDTF">2017-02-15T06:44:00Z</dcterms:created>
  <dcterms:modified xsi:type="dcterms:W3CDTF">2017-02-15T06:44:00Z</dcterms:modified>
</cp:coreProperties>
</file>